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AA10" w14:textId="77777777" w:rsidR="005944E8" w:rsidRPr="003C1F4C" w:rsidRDefault="005944E8" w:rsidP="005944E8">
      <w:pPr>
        <w:jc w:val="center"/>
        <w:rPr>
          <w:rFonts w:ascii="Times" w:hAnsi="Times"/>
          <w:b/>
          <w:sz w:val="22"/>
          <w:szCs w:val="22"/>
        </w:rPr>
      </w:pPr>
      <w:r w:rsidRPr="003C1F4C">
        <w:rPr>
          <w:rFonts w:ascii="Times" w:hAnsi="Times"/>
          <w:b/>
          <w:sz w:val="22"/>
          <w:szCs w:val="22"/>
        </w:rPr>
        <w:t>Research:</w:t>
      </w:r>
    </w:p>
    <w:p w14:paraId="50FEECD2" w14:textId="77777777" w:rsidR="00141D74" w:rsidRPr="003C1F4C" w:rsidRDefault="005944E8" w:rsidP="005944E8">
      <w:pPr>
        <w:jc w:val="center"/>
        <w:rPr>
          <w:rFonts w:ascii="Times" w:hAnsi="Times"/>
          <w:b/>
          <w:sz w:val="22"/>
          <w:szCs w:val="22"/>
        </w:rPr>
      </w:pPr>
      <w:r w:rsidRPr="003C1F4C">
        <w:rPr>
          <w:rFonts w:ascii="Times" w:hAnsi="Times"/>
          <w:b/>
          <w:sz w:val="22"/>
          <w:szCs w:val="22"/>
        </w:rPr>
        <w:t>Relief from Collateral Consequences of Prostitution-Related Convictions</w:t>
      </w:r>
    </w:p>
    <w:p w14:paraId="5ED0194A" w14:textId="77777777" w:rsidR="005944E8" w:rsidRDefault="005944E8" w:rsidP="005944E8">
      <w:pPr>
        <w:jc w:val="center"/>
        <w:rPr>
          <w:rFonts w:ascii="Times" w:hAnsi="Times"/>
          <w:sz w:val="22"/>
          <w:szCs w:val="22"/>
        </w:rPr>
      </w:pPr>
    </w:p>
    <w:p w14:paraId="70672663" w14:textId="77777777" w:rsidR="005944E8" w:rsidRDefault="005944E8" w:rsidP="005944E8">
      <w:pPr>
        <w:jc w:val="center"/>
        <w:rPr>
          <w:rFonts w:ascii="Times" w:hAnsi="Times"/>
          <w:sz w:val="22"/>
          <w:szCs w:val="22"/>
        </w:rPr>
      </w:pPr>
      <w:r>
        <w:rPr>
          <w:rFonts w:ascii="Times" w:hAnsi="Times"/>
          <w:sz w:val="22"/>
          <w:szCs w:val="22"/>
        </w:rPr>
        <w:t>Helen Johnson, Stand Against Sexual Exploitation, UK</w:t>
      </w:r>
    </w:p>
    <w:p w14:paraId="4038A37E" w14:textId="77777777" w:rsidR="005944E8" w:rsidRDefault="005944E8" w:rsidP="005944E8">
      <w:pPr>
        <w:jc w:val="center"/>
        <w:rPr>
          <w:rFonts w:ascii="Times" w:hAnsi="Times"/>
          <w:sz w:val="22"/>
          <w:szCs w:val="22"/>
        </w:rPr>
      </w:pPr>
      <w:r>
        <w:rPr>
          <w:rFonts w:ascii="Times" w:hAnsi="Times"/>
          <w:sz w:val="22"/>
          <w:szCs w:val="22"/>
        </w:rPr>
        <w:t>Molly Ann Krebs, CSE Institute, Pennsylvania, US</w:t>
      </w:r>
    </w:p>
    <w:p w14:paraId="57E4F89B" w14:textId="77777777" w:rsidR="005944E8" w:rsidRDefault="005944E8" w:rsidP="005944E8">
      <w:pPr>
        <w:jc w:val="center"/>
        <w:rPr>
          <w:rFonts w:ascii="Times" w:hAnsi="Times"/>
          <w:sz w:val="22"/>
          <w:szCs w:val="22"/>
        </w:rPr>
      </w:pPr>
    </w:p>
    <w:p w14:paraId="0622385D" w14:textId="77777777" w:rsidR="005944E8" w:rsidRDefault="003C1F4C" w:rsidP="003C1F4C">
      <w:pPr>
        <w:rPr>
          <w:rFonts w:ascii="Times" w:hAnsi="Times"/>
          <w:b/>
          <w:sz w:val="22"/>
          <w:szCs w:val="22"/>
        </w:rPr>
      </w:pPr>
      <w:r>
        <w:rPr>
          <w:rFonts w:ascii="Times" w:hAnsi="Times"/>
          <w:b/>
          <w:sz w:val="22"/>
          <w:szCs w:val="22"/>
        </w:rPr>
        <w:t xml:space="preserve">Overview </w:t>
      </w:r>
    </w:p>
    <w:p w14:paraId="69D90A65" w14:textId="77777777" w:rsidR="003C1F4C" w:rsidRDefault="003C1F4C" w:rsidP="003C1F4C">
      <w:pPr>
        <w:rPr>
          <w:rFonts w:ascii="Times" w:hAnsi="Times"/>
          <w:b/>
          <w:sz w:val="22"/>
          <w:szCs w:val="22"/>
        </w:rPr>
      </w:pPr>
    </w:p>
    <w:p w14:paraId="17EF4423" w14:textId="1747F465" w:rsidR="004E7297" w:rsidRDefault="007F2745" w:rsidP="003C1F4C">
      <w:pPr>
        <w:rPr>
          <w:rFonts w:ascii="Times" w:hAnsi="Times"/>
          <w:sz w:val="22"/>
          <w:szCs w:val="22"/>
        </w:rPr>
      </w:pPr>
      <w:r>
        <w:rPr>
          <w:rFonts w:ascii="Times" w:hAnsi="Times"/>
          <w:sz w:val="22"/>
          <w:szCs w:val="22"/>
        </w:rPr>
        <w:t xml:space="preserve">In the context of the recent </w:t>
      </w:r>
      <w:r>
        <w:rPr>
          <w:rFonts w:ascii="Times" w:hAnsi="Times"/>
          <w:i/>
          <w:sz w:val="22"/>
          <w:szCs w:val="22"/>
        </w:rPr>
        <w:t>Broadfoot Case</w:t>
      </w:r>
      <w:r>
        <w:rPr>
          <w:rStyle w:val="FootnoteReference"/>
          <w:rFonts w:ascii="Times" w:hAnsi="Times"/>
          <w:i/>
          <w:sz w:val="22"/>
          <w:szCs w:val="22"/>
        </w:rPr>
        <w:footnoteReference w:id="1"/>
      </w:r>
      <w:r>
        <w:rPr>
          <w:rFonts w:ascii="Times" w:hAnsi="Times"/>
          <w:i/>
          <w:sz w:val="22"/>
          <w:szCs w:val="22"/>
        </w:rPr>
        <w:t xml:space="preserve"> </w:t>
      </w:r>
      <w:r>
        <w:rPr>
          <w:rFonts w:ascii="Times" w:hAnsi="Times"/>
          <w:sz w:val="22"/>
          <w:szCs w:val="22"/>
        </w:rPr>
        <w:t xml:space="preserve">declaring that the requirement to disclose </w:t>
      </w:r>
      <w:r w:rsidR="009D7F25">
        <w:rPr>
          <w:rFonts w:ascii="Times" w:hAnsi="Times"/>
          <w:sz w:val="22"/>
          <w:szCs w:val="22"/>
        </w:rPr>
        <w:t xml:space="preserve">certain </w:t>
      </w:r>
      <w:r>
        <w:rPr>
          <w:rFonts w:ascii="Times" w:hAnsi="Times"/>
          <w:sz w:val="22"/>
          <w:szCs w:val="22"/>
        </w:rPr>
        <w:t xml:space="preserve">criminal convictions for </w:t>
      </w:r>
      <w:r w:rsidR="009D7F25">
        <w:rPr>
          <w:rFonts w:ascii="Times" w:hAnsi="Times"/>
          <w:sz w:val="22"/>
          <w:szCs w:val="22"/>
        </w:rPr>
        <w:t xml:space="preserve">some forms of </w:t>
      </w:r>
      <w:r>
        <w:rPr>
          <w:rFonts w:ascii="Times" w:hAnsi="Times"/>
          <w:sz w:val="22"/>
          <w:szCs w:val="22"/>
        </w:rPr>
        <w:t xml:space="preserve">employment and other activities </w:t>
      </w:r>
      <w:r w:rsidR="00C42FC1">
        <w:rPr>
          <w:rFonts w:ascii="Times" w:hAnsi="Times"/>
          <w:sz w:val="22"/>
          <w:szCs w:val="22"/>
        </w:rPr>
        <w:t>has an unfair impact on survivors holding prostitution</w:t>
      </w:r>
      <w:r w:rsidR="002B7FAA">
        <w:rPr>
          <w:rFonts w:ascii="Times" w:hAnsi="Times"/>
          <w:sz w:val="22"/>
          <w:szCs w:val="22"/>
        </w:rPr>
        <w:t xml:space="preserve"> (“soliciting”) convictions</w:t>
      </w:r>
      <w:r w:rsidR="00C42FC1">
        <w:rPr>
          <w:rFonts w:ascii="Times" w:hAnsi="Times"/>
          <w:sz w:val="22"/>
          <w:szCs w:val="22"/>
        </w:rPr>
        <w:t xml:space="preserve">, thus contravening Human Rights Principles. </w:t>
      </w:r>
      <w:r>
        <w:rPr>
          <w:rFonts w:ascii="Times" w:hAnsi="Times"/>
          <w:sz w:val="22"/>
          <w:szCs w:val="22"/>
        </w:rPr>
        <w:t>This is because of the complex circumstanc</w:t>
      </w:r>
      <w:r w:rsidR="006E4533">
        <w:rPr>
          <w:rFonts w:ascii="Times" w:hAnsi="Times"/>
          <w:sz w:val="22"/>
          <w:szCs w:val="22"/>
        </w:rPr>
        <w:t>es of those selling sex</w:t>
      </w:r>
      <w:r>
        <w:rPr>
          <w:rFonts w:ascii="Times" w:hAnsi="Times"/>
          <w:sz w:val="22"/>
          <w:szCs w:val="22"/>
        </w:rPr>
        <w:t xml:space="preserve">, particularly the fact that their involvement in prostitution has </w:t>
      </w:r>
      <w:r w:rsidR="006E4533">
        <w:rPr>
          <w:rFonts w:ascii="Times" w:hAnsi="Times"/>
          <w:sz w:val="22"/>
          <w:szCs w:val="22"/>
        </w:rPr>
        <w:t xml:space="preserve">often arisen </w:t>
      </w:r>
      <w:r w:rsidR="004E7297">
        <w:rPr>
          <w:rFonts w:ascii="Times" w:hAnsi="Times"/>
          <w:sz w:val="22"/>
          <w:szCs w:val="22"/>
        </w:rPr>
        <w:t xml:space="preserve">out of vulnerability and abuse. In fact, policing </w:t>
      </w:r>
      <w:r w:rsidR="006E4533">
        <w:rPr>
          <w:rFonts w:ascii="Times" w:hAnsi="Times"/>
          <w:sz w:val="22"/>
          <w:szCs w:val="22"/>
        </w:rPr>
        <w:t>of the</w:t>
      </w:r>
      <w:r w:rsidR="004E7297">
        <w:rPr>
          <w:rFonts w:ascii="Times" w:hAnsi="Times"/>
          <w:sz w:val="22"/>
          <w:szCs w:val="22"/>
        </w:rPr>
        <w:t>se</w:t>
      </w:r>
      <w:r w:rsidR="006E4533">
        <w:rPr>
          <w:rFonts w:ascii="Times" w:hAnsi="Times"/>
          <w:sz w:val="22"/>
          <w:szCs w:val="22"/>
        </w:rPr>
        <w:t xml:space="preserve"> issues has changed so that many of these convictions would no longer be considered offences but are nevertheless still</w:t>
      </w:r>
      <w:r w:rsidR="005425DA">
        <w:rPr>
          <w:rFonts w:ascii="Times" w:hAnsi="Times"/>
          <w:sz w:val="22"/>
          <w:szCs w:val="22"/>
        </w:rPr>
        <w:t xml:space="preserve"> classified as sexual offences. </w:t>
      </w:r>
    </w:p>
    <w:p w14:paraId="476A2DE7" w14:textId="77777777" w:rsidR="004E7297" w:rsidRDefault="004E7297" w:rsidP="003C1F4C">
      <w:pPr>
        <w:rPr>
          <w:rFonts w:ascii="Times" w:hAnsi="Times"/>
          <w:sz w:val="22"/>
          <w:szCs w:val="22"/>
        </w:rPr>
      </w:pPr>
    </w:p>
    <w:p w14:paraId="7BF6DB0A" w14:textId="28502372" w:rsidR="007F2745" w:rsidRDefault="004E7297" w:rsidP="003C1F4C">
      <w:pPr>
        <w:rPr>
          <w:rFonts w:ascii="Times" w:hAnsi="Times"/>
          <w:sz w:val="22"/>
          <w:szCs w:val="22"/>
        </w:rPr>
      </w:pPr>
      <w:r>
        <w:rPr>
          <w:rFonts w:ascii="Times" w:hAnsi="Times"/>
          <w:sz w:val="22"/>
          <w:szCs w:val="22"/>
        </w:rPr>
        <w:t xml:space="preserve">The </w:t>
      </w:r>
      <w:r w:rsidR="005425DA">
        <w:rPr>
          <w:rFonts w:ascii="Times" w:hAnsi="Times"/>
          <w:sz w:val="22"/>
          <w:szCs w:val="22"/>
        </w:rPr>
        <w:t xml:space="preserve">overriding consideration is the detrimental impact on survivors, many of whom experience retraumatisation and stigma when forced to disclose convictions related to a time in their lives that they have worked hard to leave behind and recover from. </w:t>
      </w:r>
      <w:r>
        <w:rPr>
          <w:rFonts w:ascii="Times" w:hAnsi="Times"/>
          <w:sz w:val="22"/>
          <w:szCs w:val="22"/>
        </w:rPr>
        <w:t xml:space="preserve">In light of the court’s acknowledgement of this, the question arises as to how to move forward in remedying the negative impact of holding a criminal record for survivors. </w:t>
      </w:r>
    </w:p>
    <w:p w14:paraId="6BB569C2" w14:textId="77777777" w:rsidR="007641B3" w:rsidRDefault="007641B3" w:rsidP="003C1F4C">
      <w:pPr>
        <w:rPr>
          <w:rFonts w:ascii="Times" w:hAnsi="Times"/>
          <w:sz w:val="22"/>
          <w:szCs w:val="22"/>
        </w:rPr>
      </w:pPr>
    </w:p>
    <w:p w14:paraId="0EB3E419" w14:textId="77777777" w:rsidR="007641B3" w:rsidRDefault="007641B3" w:rsidP="007641B3">
      <w:pPr>
        <w:rPr>
          <w:rFonts w:ascii="Times" w:hAnsi="Times"/>
          <w:sz w:val="22"/>
          <w:szCs w:val="22"/>
        </w:rPr>
      </w:pPr>
      <w:r>
        <w:rPr>
          <w:rFonts w:ascii="Times" w:hAnsi="Times"/>
          <w:sz w:val="22"/>
          <w:szCs w:val="22"/>
        </w:rPr>
        <w:t>The subject of the research was to explore:</w:t>
      </w:r>
    </w:p>
    <w:p w14:paraId="26425DDD" w14:textId="77777777" w:rsidR="007641B3" w:rsidRDefault="007641B3" w:rsidP="007641B3">
      <w:pPr>
        <w:rPr>
          <w:rFonts w:ascii="Times" w:hAnsi="Times"/>
          <w:sz w:val="22"/>
          <w:szCs w:val="22"/>
        </w:rPr>
      </w:pPr>
    </w:p>
    <w:p w14:paraId="5B17A566" w14:textId="77777777" w:rsidR="007641B3" w:rsidRDefault="007641B3" w:rsidP="007641B3">
      <w:pPr>
        <w:ind w:left="720"/>
        <w:jc w:val="both"/>
        <w:rPr>
          <w:rFonts w:ascii="Times" w:hAnsi="Times"/>
          <w:sz w:val="22"/>
          <w:szCs w:val="22"/>
        </w:rPr>
      </w:pPr>
      <w:r w:rsidRPr="00582E16">
        <w:rPr>
          <w:rFonts w:ascii="Times" w:hAnsi="Times"/>
          <w:sz w:val="22"/>
          <w:szCs w:val="22"/>
        </w:rPr>
        <w:t>Q1</w:t>
      </w:r>
      <w:r>
        <w:rPr>
          <w:rFonts w:ascii="Times" w:hAnsi="Times"/>
          <w:sz w:val="22"/>
          <w:szCs w:val="22"/>
        </w:rPr>
        <w:t>a</w:t>
      </w:r>
      <w:r w:rsidRPr="00582E16">
        <w:rPr>
          <w:rFonts w:ascii="Times" w:hAnsi="Times"/>
          <w:sz w:val="22"/>
          <w:szCs w:val="22"/>
        </w:rPr>
        <w:t>) What if, any, expungement-type remedies are available for those previously convicted of prostitution-</w:t>
      </w:r>
      <w:r>
        <w:rPr>
          <w:rFonts w:ascii="Times" w:hAnsi="Times"/>
          <w:sz w:val="22"/>
          <w:szCs w:val="22"/>
        </w:rPr>
        <w:t>related offenses?</w:t>
      </w:r>
    </w:p>
    <w:p w14:paraId="35312A26" w14:textId="77777777" w:rsidR="007641B3" w:rsidRPr="00582E16" w:rsidRDefault="007641B3" w:rsidP="007641B3">
      <w:pPr>
        <w:ind w:left="720"/>
        <w:jc w:val="both"/>
        <w:rPr>
          <w:rFonts w:ascii="Times" w:hAnsi="Times"/>
          <w:sz w:val="22"/>
          <w:szCs w:val="22"/>
        </w:rPr>
      </w:pPr>
      <w:r>
        <w:rPr>
          <w:rFonts w:ascii="Times" w:hAnsi="Times"/>
          <w:sz w:val="22"/>
          <w:szCs w:val="22"/>
        </w:rPr>
        <w:t>Q1b) In relation to above, in particular what happens in countries that have decriminalised the sale of sex</w:t>
      </w:r>
      <w:r w:rsidRPr="00582E16">
        <w:rPr>
          <w:rFonts w:ascii="Times" w:hAnsi="Times"/>
          <w:sz w:val="22"/>
          <w:szCs w:val="22"/>
        </w:rPr>
        <w:t xml:space="preserve">? </w:t>
      </w:r>
    </w:p>
    <w:p w14:paraId="3A2AC374" w14:textId="77777777" w:rsidR="007641B3" w:rsidRPr="00582E16" w:rsidRDefault="007641B3" w:rsidP="007641B3">
      <w:pPr>
        <w:ind w:left="720"/>
        <w:jc w:val="both"/>
        <w:rPr>
          <w:rFonts w:ascii="Times" w:hAnsi="Times"/>
          <w:sz w:val="22"/>
          <w:szCs w:val="22"/>
        </w:rPr>
      </w:pPr>
    </w:p>
    <w:p w14:paraId="15991634" w14:textId="77777777" w:rsidR="007641B3" w:rsidRDefault="007641B3" w:rsidP="007641B3">
      <w:pPr>
        <w:ind w:left="720"/>
        <w:jc w:val="both"/>
        <w:rPr>
          <w:rFonts w:ascii="Times" w:hAnsi="Times"/>
          <w:sz w:val="22"/>
          <w:szCs w:val="22"/>
        </w:rPr>
      </w:pPr>
      <w:r w:rsidRPr="00582E16">
        <w:rPr>
          <w:rFonts w:ascii="Times" w:hAnsi="Times"/>
          <w:sz w:val="22"/>
          <w:szCs w:val="22"/>
        </w:rPr>
        <w:t>Q2</w:t>
      </w:r>
      <w:r>
        <w:rPr>
          <w:rFonts w:ascii="Times" w:hAnsi="Times"/>
          <w:sz w:val="22"/>
          <w:szCs w:val="22"/>
        </w:rPr>
        <w:t>a</w:t>
      </w:r>
      <w:r w:rsidRPr="00582E16">
        <w:rPr>
          <w:rFonts w:ascii="Times" w:hAnsi="Times"/>
          <w:sz w:val="22"/>
          <w:szCs w:val="22"/>
        </w:rPr>
        <w:t xml:space="preserve">) </w:t>
      </w:r>
      <w:r>
        <w:rPr>
          <w:rFonts w:ascii="Times" w:hAnsi="Times"/>
          <w:sz w:val="22"/>
          <w:szCs w:val="22"/>
        </w:rPr>
        <w:t xml:space="preserve">What </w:t>
      </w:r>
      <w:r w:rsidRPr="00582E16">
        <w:rPr>
          <w:rFonts w:ascii="Times" w:hAnsi="Times"/>
          <w:sz w:val="22"/>
          <w:szCs w:val="22"/>
        </w:rPr>
        <w:t>legal</w:t>
      </w:r>
      <w:r>
        <w:rPr>
          <w:rFonts w:ascii="Times" w:hAnsi="Times"/>
          <w:sz w:val="22"/>
          <w:szCs w:val="22"/>
        </w:rPr>
        <w:t xml:space="preserve"> and policy</w:t>
      </w:r>
      <w:r w:rsidRPr="00582E16">
        <w:rPr>
          <w:rFonts w:ascii="Times" w:hAnsi="Times"/>
          <w:sz w:val="22"/>
          <w:szCs w:val="22"/>
        </w:rPr>
        <w:t xml:space="preserve"> schemes might be developed to effectively address this issue</w:t>
      </w:r>
      <w:r>
        <w:rPr>
          <w:rFonts w:ascii="Times" w:hAnsi="Times"/>
          <w:sz w:val="22"/>
          <w:szCs w:val="22"/>
        </w:rPr>
        <w:t>?</w:t>
      </w:r>
    </w:p>
    <w:p w14:paraId="2CF5934C" w14:textId="77777777" w:rsidR="007641B3" w:rsidRPr="00582E16" w:rsidRDefault="007641B3" w:rsidP="007641B3">
      <w:pPr>
        <w:ind w:left="720"/>
        <w:jc w:val="both"/>
        <w:rPr>
          <w:rFonts w:ascii="Times" w:hAnsi="Times"/>
          <w:sz w:val="22"/>
          <w:szCs w:val="22"/>
        </w:rPr>
      </w:pPr>
      <w:r>
        <w:rPr>
          <w:rFonts w:ascii="Times" w:hAnsi="Times"/>
          <w:sz w:val="22"/>
          <w:szCs w:val="22"/>
        </w:rPr>
        <w:t>Q2b) Are there strategies used for other issues that could be transferred to the context of prostitution related offences</w:t>
      </w:r>
      <w:r w:rsidRPr="00582E16">
        <w:rPr>
          <w:rFonts w:ascii="Times" w:hAnsi="Times"/>
          <w:sz w:val="22"/>
          <w:szCs w:val="22"/>
        </w:rPr>
        <w:t>?</w:t>
      </w:r>
    </w:p>
    <w:p w14:paraId="64208C3F" w14:textId="77777777" w:rsidR="007641B3" w:rsidRPr="00582E16" w:rsidRDefault="007641B3" w:rsidP="007641B3">
      <w:pPr>
        <w:jc w:val="both"/>
        <w:rPr>
          <w:rFonts w:ascii="Times" w:hAnsi="Times"/>
          <w:sz w:val="22"/>
          <w:szCs w:val="22"/>
        </w:rPr>
      </w:pPr>
    </w:p>
    <w:p w14:paraId="4FB12B39" w14:textId="77777777" w:rsidR="007641B3" w:rsidRPr="00582E16" w:rsidRDefault="007641B3" w:rsidP="007641B3">
      <w:pPr>
        <w:jc w:val="both"/>
        <w:rPr>
          <w:rFonts w:ascii="Times" w:hAnsi="Times"/>
          <w:sz w:val="22"/>
          <w:szCs w:val="22"/>
        </w:rPr>
      </w:pPr>
      <w:r w:rsidRPr="00582E16">
        <w:rPr>
          <w:rFonts w:ascii="Times" w:hAnsi="Times"/>
          <w:sz w:val="22"/>
          <w:szCs w:val="22"/>
        </w:rPr>
        <w:t>In sum</w:t>
      </w:r>
      <w:r>
        <w:rPr>
          <w:rFonts w:ascii="Times" w:hAnsi="Times"/>
          <w:sz w:val="22"/>
          <w:szCs w:val="22"/>
        </w:rPr>
        <w:t>mary</w:t>
      </w:r>
      <w:r w:rsidRPr="00582E16">
        <w:rPr>
          <w:rFonts w:ascii="Times" w:hAnsi="Times"/>
          <w:sz w:val="22"/>
          <w:szCs w:val="22"/>
        </w:rPr>
        <w:t>,</w:t>
      </w:r>
      <w:r>
        <w:rPr>
          <w:rFonts w:ascii="Times" w:hAnsi="Times"/>
          <w:sz w:val="22"/>
          <w:szCs w:val="22"/>
        </w:rPr>
        <w:t xml:space="preserve"> the preliminary answers are</w:t>
      </w:r>
      <w:r w:rsidRPr="00582E16">
        <w:rPr>
          <w:rFonts w:ascii="Times" w:hAnsi="Times"/>
          <w:sz w:val="22"/>
          <w:szCs w:val="22"/>
        </w:rPr>
        <w:t>:</w:t>
      </w:r>
    </w:p>
    <w:p w14:paraId="5AD3F77B" w14:textId="77777777" w:rsidR="007641B3" w:rsidRPr="00582E16" w:rsidRDefault="007641B3" w:rsidP="007641B3">
      <w:pPr>
        <w:jc w:val="both"/>
        <w:rPr>
          <w:rFonts w:ascii="Times" w:hAnsi="Times"/>
          <w:sz w:val="22"/>
          <w:szCs w:val="22"/>
        </w:rPr>
      </w:pPr>
    </w:p>
    <w:p w14:paraId="10CA185B" w14:textId="77777777" w:rsidR="007641B3" w:rsidRPr="00582E16" w:rsidRDefault="007641B3" w:rsidP="007641B3">
      <w:pPr>
        <w:ind w:left="720"/>
        <w:jc w:val="both"/>
        <w:rPr>
          <w:rFonts w:ascii="Times" w:hAnsi="Times"/>
          <w:sz w:val="22"/>
          <w:szCs w:val="22"/>
        </w:rPr>
      </w:pPr>
      <w:r w:rsidRPr="00582E16">
        <w:rPr>
          <w:rFonts w:ascii="Times" w:hAnsi="Times"/>
          <w:sz w:val="22"/>
          <w:szCs w:val="22"/>
        </w:rPr>
        <w:t xml:space="preserve">(A1) While some jurisdictions have legal schemes in place that enable individual survivors to apply for expungement and/or expungement-type remedies, no legal systems provide blanket amnesty for those previously convicted of prostitution-related offenses, even in jurisdictions that have adopted the Nordic Model. </w:t>
      </w:r>
      <w:r>
        <w:rPr>
          <w:rFonts w:ascii="Times" w:hAnsi="Times"/>
          <w:sz w:val="22"/>
          <w:szCs w:val="22"/>
        </w:rPr>
        <w:t xml:space="preserve"> In general in decriminalised contexts (whether Nordic Model or otherwise), protection is focussed on avoiding future convictions with little in place to consider the impact of previous convictions. </w:t>
      </w:r>
    </w:p>
    <w:p w14:paraId="34151966" w14:textId="77777777" w:rsidR="007641B3" w:rsidRPr="00582E16" w:rsidRDefault="007641B3" w:rsidP="007641B3">
      <w:pPr>
        <w:ind w:left="720"/>
        <w:jc w:val="both"/>
        <w:rPr>
          <w:rFonts w:ascii="Times" w:hAnsi="Times"/>
          <w:sz w:val="22"/>
          <w:szCs w:val="22"/>
        </w:rPr>
      </w:pPr>
    </w:p>
    <w:p w14:paraId="287C3CB1" w14:textId="77777777" w:rsidR="007641B3" w:rsidRDefault="007641B3" w:rsidP="007641B3">
      <w:pPr>
        <w:ind w:left="720"/>
        <w:jc w:val="both"/>
        <w:rPr>
          <w:rFonts w:ascii="Times" w:hAnsi="Times"/>
          <w:sz w:val="22"/>
          <w:szCs w:val="22"/>
        </w:rPr>
      </w:pPr>
      <w:r w:rsidRPr="00582E16">
        <w:rPr>
          <w:rFonts w:ascii="Times" w:hAnsi="Times"/>
          <w:sz w:val="22"/>
          <w:szCs w:val="22"/>
        </w:rPr>
        <w:t>(A2) While every jurisdiction’s legal system will require a distinct approach, it seems that the most effective approach in most jurisdictions will involve legislation providing either expungement-type remedies on an individual basis, or better yet, blanket amnesty for prostituted-people previously convicted of prostitution-related offenses.</w:t>
      </w:r>
    </w:p>
    <w:p w14:paraId="29A73548" w14:textId="77777777" w:rsidR="007641B3" w:rsidRDefault="007641B3" w:rsidP="003C1F4C">
      <w:pPr>
        <w:rPr>
          <w:rFonts w:ascii="Times" w:hAnsi="Times"/>
          <w:sz w:val="22"/>
          <w:szCs w:val="22"/>
        </w:rPr>
      </w:pPr>
    </w:p>
    <w:p w14:paraId="5B471D11" w14:textId="77777777" w:rsidR="007641B3" w:rsidRDefault="007641B3" w:rsidP="007641B3">
      <w:pPr>
        <w:jc w:val="both"/>
        <w:rPr>
          <w:rFonts w:ascii="Times" w:hAnsi="Times"/>
          <w:sz w:val="22"/>
          <w:szCs w:val="22"/>
        </w:rPr>
      </w:pPr>
    </w:p>
    <w:p w14:paraId="0BC5478E" w14:textId="5BFF3C3F" w:rsidR="007641B3" w:rsidRDefault="007641B3" w:rsidP="007641B3">
      <w:pPr>
        <w:jc w:val="both"/>
        <w:rPr>
          <w:rFonts w:ascii="Times" w:hAnsi="Times"/>
          <w:b/>
          <w:sz w:val="22"/>
          <w:szCs w:val="22"/>
        </w:rPr>
      </w:pPr>
      <w:r>
        <w:rPr>
          <w:rFonts w:ascii="Times" w:hAnsi="Times"/>
          <w:b/>
          <w:sz w:val="22"/>
          <w:szCs w:val="22"/>
        </w:rPr>
        <w:t xml:space="preserve">Background </w:t>
      </w:r>
    </w:p>
    <w:p w14:paraId="2A56B8E0" w14:textId="77777777" w:rsidR="007641B3" w:rsidRPr="007641B3" w:rsidRDefault="007641B3" w:rsidP="007641B3">
      <w:pPr>
        <w:jc w:val="both"/>
        <w:rPr>
          <w:rFonts w:ascii="Times" w:hAnsi="Times"/>
          <w:b/>
          <w:sz w:val="22"/>
          <w:szCs w:val="22"/>
        </w:rPr>
      </w:pPr>
    </w:p>
    <w:p w14:paraId="1D14051C" w14:textId="52330EA2" w:rsidR="007641B3" w:rsidRPr="00582E16" w:rsidRDefault="007641B3" w:rsidP="007641B3">
      <w:pPr>
        <w:jc w:val="both"/>
        <w:rPr>
          <w:rFonts w:ascii="Times" w:hAnsi="Times"/>
          <w:sz w:val="22"/>
          <w:szCs w:val="22"/>
        </w:rPr>
      </w:pPr>
      <w:r w:rsidRPr="00582E16">
        <w:rPr>
          <w:rFonts w:ascii="Times" w:hAnsi="Times"/>
          <w:sz w:val="22"/>
          <w:szCs w:val="22"/>
        </w:rPr>
        <w:lastRenderedPageBreak/>
        <w:t>The key rationales articulated by the High Court are summarized herein as follows:</w:t>
      </w:r>
    </w:p>
    <w:p w14:paraId="2414CD21" w14:textId="77777777" w:rsidR="007641B3" w:rsidRPr="00582E16" w:rsidRDefault="007641B3" w:rsidP="007641B3">
      <w:pPr>
        <w:jc w:val="both"/>
        <w:rPr>
          <w:rFonts w:ascii="Times" w:hAnsi="Times"/>
          <w:sz w:val="22"/>
          <w:szCs w:val="22"/>
        </w:rPr>
      </w:pPr>
    </w:p>
    <w:p w14:paraId="4D0E292E" w14:textId="77777777" w:rsidR="007641B3" w:rsidRPr="00582E16" w:rsidRDefault="007641B3" w:rsidP="007641B3">
      <w:pPr>
        <w:pStyle w:val="ListParagraph"/>
        <w:numPr>
          <w:ilvl w:val="0"/>
          <w:numId w:val="1"/>
        </w:numPr>
        <w:jc w:val="both"/>
        <w:rPr>
          <w:rFonts w:ascii="Times" w:hAnsi="Times" w:cs="Times New Roman"/>
          <w:sz w:val="22"/>
          <w:szCs w:val="22"/>
        </w:rPr>
      </w:pPr>
      <w:r w:rsidRPr="00582E16">
        <w:rPr>
          <w:rFonts w:ascii="Times" w:hAnsi="Times" w:cs="Times New Roman"/>
          <w:sz w:val="22"/>
          <w:szCs w:val="22"/>
        </w:rPr>
        <w:t>Requiring applicants to disclose solicitation convictions when applying for employment in caring professions (and permitting discrimination by employers based on these convictions) is “arbitrary in the sense that [these laws] bear no, or very little, relationship to the aim of safeguarding children and vulnerable adults.”</w:t>
      </w:r>
      <w:r w:rsidRPr="00582E16">
        <w:rPr>
          <w:rStyle w:val="FootnoteReference"/>
          <w:rFonts w:ascii="Times" w:hAnsi="Times" w:cs="Times New Roman"/>
          <w:sz w:val="22"/>
          <w:szCs w:val="22"/>
        </w:rPr>
        <w:footnoteReference w:id="2"/>
      </w:r>
    </w:p>
    <w:p w14:paraId="334E9A69" w14:textId="77777777" w:rsidR="007641B3" w:rsidRPr="00582E16" w:rsidRDefault="007641B3" w:rsidP="007641B3">
      <w:pPr>
        <w:jc w:val="both"/>
        <w:rPr>
          <w:rFonts w:ascii="Times" w:hAnsi="Times"/>
          <w:sz w:val="22"/>
          <w:szCs w:val="22"/>
        </w:rPr>
      </w:pPr>
    </w:p>
    <w:p w14:paraId="698679AC" w14:textId="77777777" w:rsidR="007641B3" w:rsidRPr="00582E16" w:rsidRDefault="007641B3" w:rsidP="007641B3">
      <w:pPr>
        <w:pStyle w:val="ListParagraph"/>
        <w:numPr>
          <w:ilvl w:val="0"/>
          <w:numId w:val="1"/>
        </w:numPr>
        <w:jc w:val="both"/>
        <w:rPr>
          <w:rFonts w:ascii="Times" w:hAnsi="Times" w:cs="Times New Roman"/>
          <w:sz w:val="22"/>
          <w:szCs w:val="22"/>
        </w:rPr>
      </w:pPr>
      <w:r w:rsidRPr="00582E16">
        <w:rPr>
          <w:rFonts w:ascii="Times" w:hAnsi="Times" w:cs="Times New Roman"/>
          <w:sz w:val="22"/>
          <w:szCs w:val="22"/>
        </w:rPr>
        <w:t>Requiring applicants to disclose solicitation convictions when applying for employment in caring professions “without reference to their personal circumstances or their present situation… would exclude some applicants whose ability to empathise with and assist those for whom they seek to care has in fact been enhanced by their experience of having graduated from a school of very hard knocks.”</w:t>
      </w:r>
      <w:r w:rsidRPr="00582E16">
        <w:rPr>
          <w:rStyle w:val="FootnoteReference"/>
          <w:rFonts w:ascii="Times" w:hAnsi="Times" w:cs="Times New Roman"/>
          <w:sz w:val="22"/>
          <w:szCs w:val="22"/>
        </w:rPr>
        <w:t xml:space="preserve"> </w:t>
      </w:r>
      <w:r w:rsidRPr="00582E16">
        <w:rPr>
          <w:rStyle w:val="FootnoteReference"/>
          <w:rFonts w:ascii="Times" w:hAnsi="Times" w:cs="Times New Roman"/>
          <w:sz w:val="22"/>
          <w:szCs w:val="22"/>
        </w:rPr>
        <w:footnoteReference w:id="3"/>
      </w:r>
      <w:r w:rsidRPr="00582E16">
        <w:rPr>
          <w:rFonts w:ascii="Times" w:hAnsi="Times" w:cs="Times New Roman"/>
          <w:sz w:val="22"/>
          <w:szCs w:val="22"/>
        </w:rPr>
        <w:t xml:space="preserve"> </w:t>
      </w:r>
    </w:p>
    <w:p w14:paraId="66F698EB" w14:textId="77777777" w:rsidR="007641B3" w:rsidRPr="00582E16" w:rsidRDefault="007641B3" w:rsidP="007641B3">
      <w:pPr>
        <w:jc w:val="both"/>
        <w:rPr>
          <w:rFonts w:ascii="Times" w:hAnsi="Times"/>
          <w:sz w:val="22"/>
          <w:szCs w:val="22"/>
        </w:rPr>
      </w:pPr>
    </w:p>
    <w:p w14:paraId="1D555C9E" w14:textId="77777777" w:rsidR="007641B3" w:rsidRPr="00582E16" w:rsidRDefault="007641B3" w:rsidP="007641B3">
      <w:pPr>
        <w:pStyle w:val="ListParagraph"/>
        <w:numPr>
          <w:ilvl w:val="0"/>
          <w:numId w:val="1"/>
        </w:numPr>
        <w:jc w:val="both"/>
        <w:rPr>
          <w:rFonts w:ascii="Times" w:hAnsi="Times" w:cs="Times New Roman"/>
          <w:sz w:val="22"/>
          <w:szCs w:val="22"/>
        </w:rPr>
      </w:pPr>
      <w:r w:rsidRPr="00582E16">
        <w:rPr>
          <w:rFonts w:ascii="Times" w:hAnsi="Times" w:cs="Times New Roman"/>
          <w:sz w:val="22"/>
          <w:szCs w:val="22"/>
        </w:rPr>
        <w:t>Requiring applicants to disclose solicitation convictions when applying for employment in caring professions “without reference to their personal circumstances or their present situation… would…[make] it harder for [such] persons…to obtain employment, [and thus might cause] some to remain in prostitution when they wish to leave it.”</w:t>
      </w:r>
      <w:r w:rsidRPr="00582E16">
        <w:rPr>
          <w:rStyle w:val="FootnoteReference"/>
          <w:rFonts w:ascii="Times" w:hAnsi="Times" w:cs="Times New Roman"/>
          <w:sz w:val="22"/>
          <w:szCs w:val="22"/>
        </w:rPr>
        <w:t xml:space="preserve"> </w:t>
      </w:r>
      <w:r w:rsidRPr="00582E16">
        <w:rPr>
          <w:rStyle w:val="FootnoteReference"/>
          <w:rFonts w:ascii="Times" w:hAnsi="Times" w:cs="Times New Roman"/>
          <w:sz w:val="22"/>
          <w:szCs w:val="22"/>
        </w:rPr>
        <w:footnoteReference w:id="4"/>
      </w:r>
    </w:p>
    <w:p w14:paraId="6ECEECCB" w14:textId="77777777" w:rsidR="007641B3" w:rsidRPr="00582E16" w:rsidRDefault="007641B3" w:rsidP="007641B3">
      <w:pPr>
        <w:jc w:val="both"/>
        <w:rPr>
          <w:rFonts w:ascii="Times" w:hAnsi="Times"/>
          <w:sz w:val="22"/>
          <w:szCs w:val="22"/>
        </w:rPr>
      </w:pPr>
    </w:p>
    <w:p w14:paraId="135F07F5" w14:textId="77777777" w:rsidR="007641B3" w:rsidRPr="00582E16" w:rsidRDefault="007641B3" w:rsidP="007641B3">
      <w:pPr>
        <w:pStyle w:val="ListParagraph"/>
        <w:numPr>
          <w:ilvl w:val="0"/>
          <w:numId w:val="1"/>
        </w:numPr>
        <w:jc w:val="both"/>
        <w:rPr>
          <w:rFonts w:ascii="Times" w:hAnsi="Times" w:cs="Times New Roman"/>
          <w:sz w:val="22"/>
          <w:szCs w:val="22"/>
        </w:rPr>
      </w:pPr>
      <w:r w:rsidRPr="00582E16">
        <w:rPr>
          <w:rFonts w:ascii="Times" w:hAnsi="Times" w:cs="Times New Roman"/>
          <w:sz w:val="22"/>
          <w:szCs w:val="22"/>
        </w:rPr>
        <w:t>The “mere fact of disclosure of past convictions for soliciting carries with it embarrassment and stigma which cannot be undone, whatever the outcome of the job application. Even if the job application is successful, the person concerned will be working in the knowledge that one or more persons in her employer's organisation is aware of highly personal details about her which have been no impediment to her employment.”</w:t>
      </w:r>
      <w:r w:rsidRPr="00582E16">
        <w:rPr>
          <w:rStyle w:val="FootnoteReference"/>
          <w:rFonts w:ascii="Times" w:hAnsi="Times" w:cs="Times New Roman"/>
          <w:sz w:val="22"/>
          <w:szCs w:val="22"/>
        </w:rPr>
        <w:footnoteReference w:id="5"/>
      </w:r>
    </w:p>
    <w:p w14:paraId="61FC09E2" w14:textId="77777777" w:rsidR="007641B3" w:rsidRDefault="007641B3" w:rsidP="003C1F4C">
      <w:pPr>
        <w:rPr>
          <w:rFonts w:ascii="Times" w:hAnsi="Times"/>
          <w:sz w:val="22"/>
          <w:szCs w:val="22"/>
        </w:rPr>
      </w:pPr>
    </w:p>
    <w:p w14:paraId="277F133D" w14:textId="77777777" w:rsidR="007641B3" w:rsidRPr="00582E16" w:rsidRDefault="007641B3" w:rsidP="007641B3">
      <w:pPr>
        <w:jc w:val="both"/>
        <w:rPr>
          <w:rFonts w:ascii="Times" w:hAnsi="Times"/>
          <w:sz w:val="22"/>
          <w:szCs w:val="22"/>
        </w:rPr>
      </w:pPr>
      <w:r>
        <w:rPr>
          <w:rFonts w:ascii="Times" w:hAnsi="Times"/>
          <w:sz w:val="22"/>
          <w:szCs w:val="22"/>
        </w:rPr>
        <w:t xml:space="preserve">Although the courts found that requiring the disclosure of criminal convictions for soliciting is unlawful, it </w:t>
      </w:r>
      <w:r w:rsidRPr="00582E16">
        <w:rPr>
          <w:rFonts w:ascii="Times" w:hAnsi="Times"/>
          <w:sz w:val="22"/>
          <w:szCs w:val="22"/>
        </w:rPr>
        <w:t>recognized that “it is not for the court to devise a scheme” to replace it.</w:t>
      </w:r>
      <w:r w:rsidRPr="00582E16">
        <w:rPr>
          <w:rStyle w:val="FootnoteReference"/>
          <w:rFonts w:ascii="Times" w:hAnsi="Times"/>
          <w:sz w:val="22"/>
          <w:szCs w:val="22"/>
        </w:rPr>
        <w:footnoteReference w:id="6"/>
      </w:r>
      <w:r w:rsidRPr="00582E16">
        <w:rPr>
          <w:rFonts w:ascii="Times" w:hAnsi="Times"/>
          <w:sz w:val="22"/>
          <w:szCs w:val="22"/>
        </w:rPr>
        <w:t xml:space="preserve"> Rather, as the Court observed, “it should be and is possible for Parliament to devise a scheme which more fairly balances the public interest with the rights of an individual applicant for employment in relevant areas of work.” </w:t>
      </w:r>
    </w:p>
    <w:p w14:paraId="5111DC02" w14:textId="77777777" w:rsidR="007641B3" w:rsidRPr="00582E16" w:rsidRDefault="007641B3" w:rsidP="007641B3">
      <w:pPr>
        <w:jc w:val="both"/>
        <w:rPr>
          <w:rFonts w:ascii="Times" w:hAnsi="Times"/>
          <w:sz w:val="22"/>
          <w:szCs w:val="22"/>
        </w:rPr>
      </w:pPr>
    </w:p>
    <w:p w14:paraId="35321231" w14:textId="68E60453" w:rsidR="007641B3" w:rsidRDefault="007641B3" w:rsidP="007641B3">
      <w:pPr>
        <w:jc w:val="both"/>
        <w:rPr>
          <w:rFonts w:ascii="Times" w:hAnsi="Times"/>
          <w:sz w:val="22"/>
          <w:szCs w:val="22"/>
        </w:rPr>
      </w:pPr>
      <w:r>
        <w:rPr>
          <w:rFonts w:ascii="Times" w:hAnsi="Times"/>
          <w:sz w:val="22"/>
          <w:szCs w:val="22"/>
        </w:rPr>
        <w:t xml:space="preserve">While </w:t>
      </w:r>
      <w:r w:rsidRPr="00582E16">
        <w:rPr>
          <w:rFonts w:ascii="Times" w:hAnsi="Times"/>
          <w:sz w:val="22"/>
          <w:szCs w:val="22"/>
        </w:rPr>
        <w:t xml:space="preserve">the High Court in the </w:t>
      </w:r>
      <w:r w:rsidRPr="00582E16">
        <w:rPr>
          <w:rFonts w:ascii="Times" w:hAnsi="Times"/>
          <w:i/>
          <w:sz w:val="22"/>
          <w:szCs w:val="22"/>
        </w:rPr>
        <w:t>Broadfoot Case</w:t>
      </w:r>
      <w:r w:rsidRPr="00582E16">
        <w:rPr>
          <w:rFonts w:ascii="Times" w:hAnsi="Times"/>
          <w:sz w:val="22"/>
          <w:szCs w:val="22"/>
        </w:rPr>
        <w:t xml:space="preserve"> ruled that the current scheme regarding collateral consequences of conviction for prostitution-related offenses is unlawful, the </w:t>
      </w:r>
      <w:r w:rsidR="002E0CA7">
        <w:rPr>
          <w:rFonts w:ascii="Times" w:hAnsi="Times"/>
          <w:sz w:val="22"/>
          <w:szCs w:val="22"/>
        </w:rPr>
        <w:t xml:space="preserve">ruling is narrow and the </w:t>
      </w:r>
      <w:r w:rsidRPr="00582E16">
        <w:rPr>
          <w:rFonts w:ascii="Times" w:hAnsi="Times"/>
          <w:sz w:val="22"/>
          <w:szCs w:val="22"/>
        </w:rPr>
        <w:t>Court provided no remedy. The ruling is narrow insofar as it concerns only those collateral consequences that involve discrimination in employment. (Indeed, one plausible reading suggests that the ruling is limited only to employment discrimination in the caring professions.) Given the Court’s lack of authority to devise an alternate scheme, the next step toward alleviating these collateral consequences in the United Kingdom would be for Parliament to enact a statutory remedy.</w:t>
      </w:r>
    </w:p>
    <w:p w14:paraId="00BDED3B" w14:textId="77777777" w:rsidR="006D6BF6" w:rsidRPr="00582E16" w:rsidRDefault="006D6BF6" w:rsidP="007641B3">
      <w:pPr>
        <w:jc w:val="both"/>
        <w:rPr>
          <w:rFonts w:ascii="Times" w:hAnsi="Times"/>
          <w:sz w:val="22"/>
          <w:szCs w:val="22"/>
        </w:rPr>
      </w:pPr>
    </w:p>
    <w:p w14:paraId="62D15F55" w14:textId="46C856BB" w:rsidR="007641B3" w:rsidRPr="00582E16" w:rsidRDefault="007641B3" w:rsidP="007641B3">
      <w:pPr>
        <w:jc w:val="both"/>
        <w:rPr>
          <w:rFonts w:ascii="Times" w:hAnsi="Times"/>
          <w:sz w:val="22"/>
          <w:szCs w:val="22"/>
        </w:rPr>
      </w:pPr>
      <w:r>
        <w:rPr>
          <w:rFonts w:ascii="Times" w:hAnsi="Times"/>
          <w:sz w:val="22"/>
          <w:szCs w:val="22"/>
        </w:rPr>
        <w:t>Further, w</w:t>
      </w:r>
      <w:r w:rsidRPr="00582E16">
        <w:rPr>
          <w:rFonts w:ascii="Times" w:hAnsi="Times"/>
          <w:sz w:val="22"/>
          <w:szCs w:val="22"/>
        </w:rPr>
        <w:t xml:space="preserve">hile the </w:t>
      </w:r>
      <w:r w:rsidRPr="00582E16">
        <w:rPr>
          <w:rFonts w:ascii="Times" w:hAnsi="Times"/>
          <w:i/>
          <w:sz w:val="22"/>
          <w:szCs w:val="22"/>
        </w:rPr>
        <w:t>Broadfoot Case</w:t>
      </w:r>
      <w:r w:rsidRPr="00582E16">
        <w:rPr>
          <w:rFonts w:ascii="Times" w:hAnsi="Times"/>
          <w:sz w:val="22"/>
          <w:szCs w:val="22"/>
        </w:rPr>
        <w:t xml:space="preserve"> concerned discrimination in employment, it is important to note that collateral consequences of conviction impact people in myriad ways. Typical categories of rights and privileges that are impacted by collateral consequences flowing from criminal convictions include: (1) citizenship, (2) military activity, (3) restriction on freedom/movement, (4) social and legal standing in the community, (5) running for political office and voting rights, (6) occupation and employment, (7) property, contracts, inheritance, family, and lawsuits.</w:t>
      </w:r>
      <w:r w:rsidRPr="00582E16">
        <w:rPr>
          <w:rStyle w:val="FootnoteReference"/>
          <w:rFonts w:ascii="Times" w:hAnsi="Times"/>
          <w:sz w:val="22"/>
          <w:szCs w:val="22"/>
        </w:rPr>
        <w:footnoteReference w:id="7"/>
      </w:r>
      <w:r w:rsidRPr="00582E16">
        <w:rPr>
          <w:rFonts w:ascii="Times" w:hAnsi="Times"/>
          <w:sz w:val="22"/>
          <w:szCs w:val="22"/>
        </w:rPr>
        <w:t xml:space="preserve"> </w:t>
      </w:r>
    </w:p>
    <w:p w14:paraId="15432FAD" w14:textId="77777777" w:rsidR="007641B3" w:rsidRDefault="007641B3" w:rsidP="007641B3">
      <w:pPr>
        <w:jc w:val="both"/>
        <w:rPr>
          <w:rFonts w:ascii="Times" w:hAnsi="Times"/>
          <w:sz w:val="22"/>
          <w:szCs w:val="22"/>
        </w:rPr>
      </w:pPr>
    </w:p>
    <w:p w14:paraId="61745A8E" w14:textId="47C2E495" w:rsidR="002E0CA7" w:rsidRPr="002E0CA7" w:rsidRDefault="002E0CA7" w:rsidP="007641B3">
      <w:pPr>
        <w:jc w:val="both"/>
        <w:rPr>
          <w:rFonts w:ascii="Times" w:hAnsi="Times"/>
          <w:b/>
          <w:sz w:val="22"/>
          <w:szCs w:val="22"/>
        </w:rPr>
      </w:pPr>
      <w:r w:rsidRPr="002E0CA7">
        <w:rPr>
          <w:rFonts w:ascii="Times" w:hAnsi="Times"/>
          <w:b/>
          <w:sz w:val="22"/>
          <w:szCs w:val="22"/>
        </w:rPr>
        <w:t>Countries that have decriminalised prostitution</w:t>
      </w:r>
    </w:p>
    <w:p w14:paraId="34B27A58" w14:textId="3BEBDEDC" w:rsidR="007F2745" w:rsidRDefault="007F2745" w:rsidP="003C1F4C">
      <w:pPr>
        <w:rPr>
          <w:rFonts w:ascii="Times" w:hAnsi="Times"/>
          <w:sz w:val="22"/>
          <w:szCs w:val="22"/>
        </w:rPr>
      </w:pPr>
    </w:p>
    <w:p w14:paraId="41311596" w14:textId="272798AA" w:rsidR="007641B3" w:rsidRDefault="002E0CA7" w:rsidP="003C1F4C">
      <w:pPr>
        <w:rPr>
          <w:rFonts w:ascii="Times" w:hAnsi="Times"/>
          <w:sz w:val="22"/>
          <w:szCs w:val="22"/>
        </w:rPr>
      </w:pPr>
      <w:r>
        <w:rPr>
          <w:rFonts w:ascii="Times" w:hAnsi="Times"/>
          <w:sz w:val="22"/>
          <w:szCs w:val="22"/>
        </w:rPr>
        <w:t xml:space="preserve">In order to investigate possible remedies for the effects of criminalisation, countries with one of the following legal regimes were investigated: countries that have legalised the sale of sex, countries that have decriminalised the sale of sex, and those countries that have adopted the Nordic model. These were: </w:t>
      </w:r>
    </w:p>
    <w:p w14:paraId="68CD4D9E" w14:textId="77777777" w:rsidR="002E0CA7" w:rsidRDefault="002E0CA7" w:rsidP="003C1F4C">
      <w:pPr>
        <w:rPr>
          <w:rFonts w:ascii="Times" w:hAnsi="Times"/>
          <w:sz w:val="22"/>
          <w:szCs w:val="22"/>
        </w:rPr>
      </w:pPr>
    </w:p>
    <w:p w14:paraId="49DF96D2" w14:textId="77777777" w:rsidR="002E0CA7" w:rsidRDefault="002E0CA7" w:rsidP="003C1F4C">
      <w:pPr>
        <w:rPr>
          <w:rFonts w:ascii="Times" w:hAnsi="Times"/>
          <w:sz w:val="22"/>
          <w:szCs w:val="22"/>
        </w:rPr>
      </w:pPr>
      <w:r>
        <w:rPr>
          <w:rFonts w:ascii="Times" w:hAnsi="Times"/>
          <w:sz w:val="22"/>
          <w:szCs w:val="22"/>
        </w:rPr>
        <w:t>Legalization countries:</w:t>
      </w:r>
      <w:r w:rsidRPr="00582E16">
        <w:rPr>
          <w:rFonts w:ascii="Times" w:hAnsi="Times"/>
          <w:sz w:val="22"/>
          <w:szCs w:val="22"/>
        </w:rPr>
        <w:t xml:space="preserve"> (1) Senegal (1969),</w:t>
      </w:r>
      <w:r w:rsidRPr="00582E16">
        <w:rPr>
          <w:rStyle w:val="FootnoteReference"/>
          <w:rFonts w:ascii="Times" w:hAnsi="Times"/>
          <w:sz w:val="22"/>
          <w:szCs w:val="22"/>
        </w:rPr>
        <w:footnoteReference w:id="8"/>
      </w:r>
      <w:r w:rsidRPr="00582E16">
        <w:rPr>
          <w:rFonts w:ascii="Times" w:hAnsi="Times"/>
          <w:sz w:val="22"/>
          <w:szCs w:val="22"/>
        </w:rPr>
        <w:t xml:space="preserve"> (2) Victoria, Australia (1994),</w:t>
      </w:r>
      <w:r w:rsidRPr="00582E16">
        <w:rPr>
          <w:rStyle w:val="FootnoteReference"/>
          <w:rFonts w:ascii="Times" w:hAnsi="Times"/>
          <w:sz w:val="22"/>
          <w:szCs w:val="22"/>
        </w:rPr>
        <w:footnoteReference w:id="9"/>
      </w:r>
      <w:r w:rsidRPr="00582E16">
        <w:rPr>
          <w:rFonts w:ascii="Times" w:hAnsi="Times"/>
          <w:sz w:val="22"/>
          <w:szCs w:val="22"/>
        </w:rPr>
        <w:t xml:space="preserve"> (4) Queensland, Australia (1999),</w:t>
      </w:r>
      <w:r w:rsidRPr="00582E16">
        <w:rPr>
          <w:rStyle w:val="FootnoteReference"/>
          <w:rFonts w:ascii="Times" w:hAnsi="Times"/>
          <w:sz w:val="22"/>
          <w:szCs w:val="22"/>
        </w:rPr>
        <w:footnoteReference w:id="10"/>
      </w:r>
      <w:r w:rsidRPr="00582E16">
        <w:rPr>
          <w:rFonts w:ascii="Times" w:hAnsi="Times"/>
          <w:sz w:val="22"/>
          <w:szCs w:val="22"/>
        </w:rPr>
        <w:t xml:space="preserve"> (5) The Netherlands (2000),</w:t>
      </w:r>
      <w:r w:rsidRPr="00582E16">
        <w:rPr>
          <w:rStyle w:val="FootnoteReference"/>
          <w:rFonts w:ascii="Times" w:hAnsi="Times"/>
          <w:sz w:val="22"/>
          <w:szCs w:val="22"/>
        </w:rPr>
        <w:footnoteReference w:id="11"/>
      </w:r>
      <w:r w:rsidRPr="00582E16">
        <w:rPr>
          <w:rFonts w:ascii="Times" w:hAnsi="Times"/>
          <w:sz w:val="22"/>
          <w:szCs w:val="22"/>
        </w:rPr>
        <w:t xml:space="preserve"> (6) Germany (2002),</w:t>
      </w:r>
      <w:r w:rsidRPr="00582E16">
        <w:rPr>
          <w:rStyle w:val="FootnoteReference"/>
          <w:rFonts w:ascii="Times" w:hAnsi="Times"/>
          <w:sz w:val="22"/>
          <w:szCs w:val="22"/>
        </w:rPr>
        <w:footnoteReference w:id="12"/>
      </w:r>
      <w:r w:rsidRPr="00582E16">
        <w:rPr>
          <w:rFonts w:ascii="Times" w:hAnsi="Times"/>
          <w:sz w:val="22"/>
          <w:szCs w:val="22"/>
        </w:rPr>
        <w:t xml:space="preserve"> and (7) Nevada, U.S.</w:t>
      </w:r>
      <w:r w:rsidRPr="00582E16">
        <w:rPr>
          <w:rStyle w:val="FootnoteReference"/>
          <w:rFonts w:ascii="Times" w:hAnsi="Times"/>
          <w:sz w:val="22"/>
          <w:szCs w:val="22"/>
        </w:rPr>
        <w:footnoteReference w:id="13"/>
      </w:r>
      <w:r w:rsidRPr="00582E16">
        <w:rPr>
          <w:rFonts w:ascii="Times" w:hAnsi="Times"/>
          <w:sz w:val="22"/>
          <w:szCs w:val="22"/>
        </w:rPr>
        <w:t xml:space="preserve">  </w:t>
      </w:r>
    </w:p>
    <w:p w14:paraId="2D4CA39A" w14:textId="77777777" w:rsidR="002E0CA7" w:rsidRDefault="002E0CA7" w:rsidP="003C1F4C">
      <w:pPr>
        <w:rPr>
          <w:rFonts w:ascii="Times" w:hAnsi="Times"/>
          <w:sz w:val="22"/>
          <w:szCs w:val="22"/>
        </w:rPr>
      </w:pPr>
      <w:r w:rsidRPr="00582E16">
        <w:rPr>
          <w:rFonts w:ascii="Times" w:hAnsi="Times"/>
          <w:sz w:val="22"/>
          <w:szCs w:val="22"/>
        </w:rPr>
        <w:t>Dec</w:t>
      </w:r>
      <w:r>
        <w:rPr>
          <w:rFonts w:ascii="Times" w:hAnsi="Times"/>
          <w:sz w:val="22"/>
          <w:szCs w:val="22"/>
        </w:rPr>
        <w:t>riminalization countries</w:t>
      </w:r>
      <w:r w:rsidRPr="00582E16">
        <w:rPr>
          <w:rFonts w:ascii="Times" w:hAnsi="Times"/>
          <w:sz w:val="22"/>
          <w:szCs w:val="22"/>
        </w:rPr>
        <w:t>:  (8) New South Wales, Australia (1995)</w:t>
      </w:r>
      <w:r w:rsidRPr="00582E16">
        <w:rPr>
          <w:rStyle w:val="FootnoteReference"/>
          <w:rFonts w:ascii="Times" w:hAnsi="Times"/>
          <w:sz w:val="22"/>
          <w:szCs w:val="22"/>
        </w:rPr>
        <w:footnoteReference w:id="14"/>
      </w:r>
      <w:r w:rsidRPr="00582E16">
        <w:rPr>
          <w:rFonts w:ascii="Times" w:hAnsi="Times"/>
          <w:sz w:val="22"/>
          <w:szCs w:val="22"/>
        </w:rPr>
        <w:t xml:space="preserve"> and (9) New Zealand (2003).</w:t>
      </w:r>
      <w:r w:rsidRPr="00582E16">
        <w:rPr>
          <w:rStyle w:val="FootnoteReference"/>
          <w:rFonts w:ascii="Times" w:hAnsi="Times"/>
          <w:sz w:val="22"/>
          <w:szCs w:val="22"/>
        </w:rPr>
        <w:footnoteReference w:id="15"/>
      </w:r>
      <w:r w:rsidRPr="00582E16">
        <w:rPr>
          <w:rFonts w:ascii="Times" w:hAnsi="Times"/>
          <w:sz w:val="22"/>
          <w:szCs w:val="22"/>
        </w:rPr>
        <w:t xml:space="preserve"> </w:t>
      </w:r>
    </w:p>
    <w:p w14:paraId="35188BAC" w14:textId="5003E4A5" w:rsidR="002E0CA7" w:rsidRDefault="002E0CA7" w:rsidP="003C1F4C">
      <w:pPr>
        <w:rPr>
          <w:rFonts w:ascii="Times" w:hAnsi="Times"/>
          <w:sz w:val="22"/>
          <w:szCs w:val="22"/>
        </w:rPr>
      </w:pPr>
      <w:r w:rsidRPr="00582E16">
        <w:rPr>
          <w:rFonts w:ascii="Times" w:hAnsi="Times"/>
          <w:sz w:val="22"/>
          <w:szCs w:val="22"/>
        </w:rPr>
        <w:t xml:space="preserve">Countries that have </w:t>
      </w:r>
      <w:r>
        <w:rPr>
          <w:rFonts w:ascii="Times" w:hAnsi="Times"/>
          <w:sz w:val="22"/>
          <w:szCs w:val="22"/>
        </w:rPr>
        <w:t>adopted the Nordic Model</w:t>
      </w:r>
      <w:r w:rsidRPr="00582E16">
        <w:rPr>
          <w:rFonts w:ascii="Times" w:hAnsi="Times"/>
          <w:sz w:val="22"/>
          <w:szCs w:val="22"/>
        </w:rPr>
        <w:t>:  (10) Sweden (1999),</w:t>
      </w:r>
      <w:r w:rsidRPr="00582E16">
        <w:rPr>
          <w:rStyle w:val="FootnoteReference"/>
          <w:rFonts w:ascii="Times" w:hAnsi="Times"/>
          <w:sz w:val="22"/>
          <w:szCs w:val="22"/>
        </w:rPr>
        <w:footnoteReference w:id="16"/>
      </w:r>
      <w:r w:rsidRPr="00582E16">
        <w:rPr>
          <w:rFonts w:ascii="Times" w:hAnsi="Times"/>
          <w:sz w:val="22"/>
          <w:szCs w:val="22"/>
        </w:rPr>
        <w:t xml:space="preserve"> (11) Norway (2009),</w:t>
      </w:r>
      <w:r w:rsidRPr="00582E16">
        <w:rPr>
          <w:rStyle w:val="FootnoteReference"/>
          <w:rFonts w:ascii="Times" w:hAnsi="Times"/>
          <w:sz w:val="22"/>
          <w:szCs w:val="22"/>
        </w:rPr>
        <w:footnoteReference w:id="17"/>
      </w:r>
      <w:r w:rsidRPr="00582E16">
        <w:rPr>
          <w:rFonts w:ascii="Times" w:hAnsi="Times"/>
          <w:sz w:val="22"/>
          <w:szCs w:val="22"/>
        </w:rPr>
        <w:t xml:space="preserve"> (12) Northern Ireland (2012),</w:t>
      </w:r>
      <w:r w:rsidRPr="00582E16">
        <w:rPr>
          <w:rStyle w:val="FootnoteReference"/>
          <w:rFonts w:ascii="Times" w:hAnsi="Times"/>
          <w:sz w:val="22"/>
          <w:szCs w:val="22"/>
        </w:rPr>
        <w:footnoteReference w:id="18"/>
      </w:r>
      <w:r w:rsidRPr="00582E16">
        <w:rPr>
          <w:rFonts w:ascii="Times" w:hAnsi="Times"/>
          <w:sz w:val="22"/>
          <w:szCs w:val="22"/>
        </w:rPr>
        <w:t xml:space="preserve"> (13)</w:t>
      </w:r>
    </w:p>
    <w:p w14:paraId="40676B3A" w14:textId="77777777" w:rsidR="002E0CA7" w:rsidRDefault="002E0CA7" w:rsidP="003C1F4C">
      <w:pPr>
        <w:rPr>
          <w:rFonts w:ascii="Times" w:hAnsi="Times"/>
          <w:sz w:val="22"/>
          <w:szCs w:val="22"/>
        </w:rPr>
      </w:pPr>
    </w:p>
    <w:p w14:paraId="2FC4EA28" w14:textId="77777777" w:rsidR="002E0CA7" w:rsidRDefault="002E0CA7" w:rsidP="003C1F4C">
      <w:pPr>
        <w:rPr>
          <w:rFonts w:ascii="Times" w:hAnsi="Times"/>
          <w:sz w:val="22"/>
          <w:szCs w:val="22"/>
        </w:rPr>
      </w:pPr>
      <w:r>
        <w:rPr>
          <w:rFonts w:ascii="Times" w:hAnsi="Times"/>
          <w:sz w:val="22"/>
          <w:szCs w:val="22"/>
        </w:rPr>
        <w:t xml:space="preserve">None of these countries addressed the specific barrier of holding a criminal record from offences prior to the change in law. From a legal perspective, this is unproblematic as crimes committed before laws change are still crimes at the time they are committed and continue to be treated as such within the context of a legal system. </w:t>
      </w:r>
    </w:p>
    <w:p w14:paraId="3259231A" w14:textId="77777777" w:rsidR="002E0CA7" w:rsidRDefault="002E0CA7" w:rsidP="003C1F4C">
      <w:pPr>
        <w:rPr>
          <w:rFonts w:ascii="Times" w:hAnsi="Times"/>
          <w:sz w:val="22"/>
          <w:szCs w:val="22"/>
        </w:rPr>
      </w:pPr>
    </w:p>
    <w:p w14:paraId="5A896F61" w14:textId="20A475FD" w:rsidR="002E0CA7" w:rsidRDefault="002E0CA7" w:rsidP="003C1F4C">
      <w:pPr>
        <w:rPr>
          <w:rFonts w:ascii="Times" w:hAnsi="Times"/>
          <w:sz w:val="22"/>
          <w:szCs w:val="22"/>
        </w:rPr>
      </w:pPr>
      <w:r>
        <w:rPr>
          <w:rFonts w:ascii="Times" w:hAnsi="Times"/>
          <w:sz w:val="22"/>
          <w:szCs w:val="22"/>
        </w:rPr>
        <w:t xml:space="preserve">However, regardless of whether there is a sex worker rights or violence against women paradigm adopted, there is strong advocacy for women involved in prostitution within these regimes, including protecting women from future convictions. It is therefore surprising that the impact of previous convictions has not been addressed formally within changing legal frameworks. This represents a glaring gap in provision for both women and men convicted of selling sex and an opportunity to develop strong solutions. </w:t>
      </w:r>
    </w:p>
    <w:p w14:paraId="172D7B1D" w14:textId="77777777" w:rsidR="00933E56" w:rsidRDefault="00933E56" w:rsidP="003C1F4C">
      <w:pPr>
        <w:rPr>
          <w:rFonts w:ascii="Times" w:hAnsi="Times"/>
          <w:sz w:val="22"/>
          <w:szCs w:val="22"/>
        </w:rPr>
      </w:pPr>
    </w:p>
    <w:p w14:paraId="07794680" w14:textId="65DCAAAC" w:rsidR="00933E56" w:rsidRPr="00582E16" w:rsidRDefault="00933E56" w:rsidP="00933E56">
      <w:pPr>
        <w:jc w:val="both"/>
        <w:rPr>
          <w:rFonts w:ascii="Times" w:hAnsi="Times"/>
          <w:sz w:val="22"/>
          <w:szCs w:val="22"/>
        </w:rPr>
      </w:pPr>
      <w:r w:rsidRPr="00582E16">
        <w:rPr>
          <w:rFonts w:ascii="Times" w:hAnsi="Times"/>
          <w:sz w:val="22"/>
          <w:szCs w:val="22"/>
        </w:rPr>
        <w:t xml:space="preserve">That said, there are several jurisdictions in the United States where victims of human trafficking have the opportunity, on an individual basis, to seek expungement or </w:t>
      </w:r>
      <w:r w:rsidR="00A607F4">
        <w:rPr>
          <w:rFonts w:ascii="Times" w:hAnsi="Times"/>
          <w:sz w:val="22"/>
          <w:szCs w:val="22"/>
        </w:rPr>
        <w:t>vacation</w:t>
      </w:r>
      <w:r w:rsidRPr="00582E16">
        <w:rPr>
          <w:rFonts w:ascii="Times" w:hAnsi="Times"/>
          <w:sz w:val="22"/>
          <w:szCs w:val="22"/>
        </w:rPr>
        <w:t xml:space="preserve"> of their previous convictions.</w:t>
      </w:r>
      <w:r w:rsidRPr="00582E16">
        <w:rPr>
          <w:rStyle w:val="FootnoteReference"/>
          <w:rFonts w:ascii="Times" w:hAnsi="Times"/>
          <w:sz w:val="22"/>
          <w:szCs w:val="22"/>
        </w:rPr>
        <w:footnoteReference w:id="19"/>
      </w:r>
      <w:r w:rsidRPr="00582E16">
        <w:rPr>
          <w:rFonts w:ascii="Times" w:hAnsi="Times"/>
          <w:sz w:val="22"/>
          <w:szCs w:val="22"/>
        </w:rPr>
        <w:t xml:space="preserve"> </w:t>
      </w:r>
      <w:r>
        <w:rPr>
          <w:rFonts w:ascii="Times" w:hAnsi="Times"/>
          <w:sz w:val="22"/>
          <w:szCs w:val="22"/>
        </w:rPr>
        <w:t xml:space="preserve"> </w:t>
      </w:r>
      <w:r w:rsidRPr="00582E16">
        <w:rPr>
          <w:rFonts w:ascii="Times" w:hAnsi="Times"/>
          <w:sz w:val="22"/>
          <w:szCs w:val="22"/>
        </w:rPr>
        <w:t xml:space="preserve">Jurisdictions scattered across the U.S. have adopted expungement practices.  </w:t>
      </w:r>
    </w:p>
    <w:p w14:paraId="46D8D53C" w14:textId="77777777" w:rsidR="00933E56" w:rsidRDefault="00933E56" w:rsidP="003C1F4C">
      <w:pPr>
        <w:rPr>
          <w:rFonts w:ascii="Times" w:hAnsi="Times"/>
          <w:sz w:val="22"/>
          <w:szCs w:val="22"/>
        </w:rPr>
      </w:pPr>
    </w:p>
    <w:p w14:paraId="761AD4E6" w14:textId="77777777" w:rsidR="00933E56" w:rsidRDefault="00933E56" w:rsidP="003C1F4C">
      <w:pPr>
        <w:rPr>
          <w:rFonts w:ascii="Times" w:hAnsi="Times"/>
          <w:sz w:val="22"/>
          <w:szCs w:val="22"/>
        </w:rPr>
      </w:pPr>
    </w:p>
    <w:p w14:paraId="7E6664FA" w14:textId="77777777" w:rsidR="00933E56" w:rsidRPr="00933E56" w:rsidRDefault="00933E56" w:rsidP="00933E56">
      <w:pPr>
        <w:jc w:val="both"/>
        <w:rPr>
          <w:rFonts w:ascii="Times" w:hAnsi="Times"/>
          <w:b/>
          <w:sz w:val="22"/>
          <w:szCs w:val="22"/>
        </w:rPr>
      </w:pPr>
      <w:r w:rsidRPr="00933E56">
        <w:rPr>
          <w:rFonts w:ascii="Times" w:hAnsi="Times"/>
          <w:b/>
          <w:sz w:val="22"/>
          <w:szCs w:val="22"/>
        </w:rPr>
        <w:t>Expungement-Type Remedies for Other Types of Offenses</w:t>
      </w:r>
    </w:p>
    <w:p w14:paraId="393CBA8A" w14:textId="77777777" w:rsidR="00933E56" w:rsidRPr="00582E16" w:rsidRDefault="00933E56" w:rsidP="00933E56">
      <w:pPr>
        <w:jc w:val="both"/>
        <w:rPr>
          <w:rFonts w:ascii="Times" w:hAnsi="Times"/>
          <w:sz w:val="22"/>
          <w:szCs w:val="22"/>
        </w:rPr>
      </w:pPr>
    </w:p>
    <w:p w14:paraId="69CD1360" w14:textId="3DC41684" w:rsidR="00933E56" w:rsidRPr="00582E16" w:rsidRDefault="00933E56" w:rsidP="00933E56">
      <w:pPr>
        <w:jc w:val="both"/>
        <w:rPr>
          <w:rFonts w:ascii="Times" w:hAnsi="Times"/>
          <w:sz w:val="22"/>
          <w:szCs w:val="22"/>
        </w:rPr>
      </w:pPr>
      <w:r>
        <w:rPr>
          <w:rFonts w:ascii="Times" w:hAnsi="Times"/>
          <w:sz w:val="22"/>
          <w:szCs w:val="22"/>
        </w:rPr>
        <w:t xml:space="preserve">Some lessons can be learned from </w:t>
      </w:r>
      <w:r w:rsidRPr="00582E16">
        <w:rPr>
          <w:rFonts w:ascii="Times" w:hAnsi="Times"/>
          <w:sz w:val="22"/>
          <w:szCs w:val="22"/>
        </w:rPr>
        <w:t>jurisdictions where historically criminalized conduct has recently been decriminalized</w:t>
      </w:r>
      <w:r>
        <w:rPr>
          <w:rFonts w:ascii="Times" w:hAnsi="Times"/>
          <w:sz w:val="22"/>
          <w:szCs w:val="22"/>
        </w:rPr>
        <w:t xml:space="preserve">. </w:t>
      </w:r>
      <w:r w:rsidRPr="00582E16">
        <w:rPr>
          <w:rFonts w:ascii="Times" w:hAnsi="Times"/>
          <w:sz w:val="22"/>
          <w:szCs w:val="22"/>
        </w:rPr>
        <w:t>For example, in jurisdictions that have recently decriminalized homosexual sodomy and recreational marijuana usage - have these jurisdictions implemented a process for granting amnesty or other expungement-type remedies to those who labo</w:t>
      </w:r>
      <w:r>
        <w:rPr>
          <w:rFonts w:ascii="Times" w:hAnsi="Times"/>
          <w:sz w:val="22"/>
          <w:szCs w:val="22"/>
        </w:rPr>
        <w:t>u</w:t>
      </w:r>
      <w:r w:rsidRPr="00582E16">
        <w:rPr>
          <w:rFonts w:ascii="Times" w:hAnsi="Times"/>
          <w:sz w:val="22"/>
          <w:szCs w:val="22"/>
        </w:rPr>
        <w:t xml:space="preserve">r under previous convictions for what is now fully legal conduct?  </w:t>
      </w:r>
    </w:p>
    <w:p w14:paraId="7B6D4282" w14:textId="77777777" w:rsidR="00933E56" w:rsidRPr="00582E16" w:rsidRDefault="00933E56" w:rsidP="00933E56">
      <w:pPr>
        <w:jc w:val="both"/>
        <w:rPr>
          <w:rFonts w:ascii="Times" w:hAnsi="Times"/>
          <w:sz w:val="22"/>
          <w:szCs w:val="22"/>
        </w:rPr>
      </w:pPr>
    </w:p>
    <w:p w14:paraId="299D6000" w14:textId="7C69918B" w:rsidR="00933E56" w:rsidRDefault="00933E56" w:rsidP="00933E56">
      <w:pPr>
        <w:jc w:val="both"/>
        <w:rPr>
          <w:rFonts w:ascii="Times" w:hAnsi="Times"/>
          <w:sz w:val="22"/>
          <w:szCs w:val="22"/>
        </w:rPr>
      </w:pPr>
      <w:r w:rsidRPr="00582E16">
        <w:rPr>
          <w:rFonts w:ascii="Times" w:hAnsi="Times"/>
          <w:sz w:val="22"/>
          <w:szCs w:val="22"/>
        </w:rPr>
        <w:t xml:space="preserve">The answer is mixed. </w:t>
      </w:r>
      <w:r>
        <w:rPr>
          <w:rFonts w:ascii="Times" w:hAnsi="Times"/>
          <w:sz w:val="22"/>
          <w:szCs w:val="22"/>
        </w:rPr>
        <w:t xml:space="preserve"> In</w:t>
      </w:r>
      <w:r w:rsidRPr="00582E16">
        <w:rPr>
          <w:rFonts w:ascii="Times" w:hAnsi="Times"/>
          <w:sz w:val="22"/>
          <w:szCs w:val="22"/>
        </w:rPr>
        <w:t xml:space="preserve"> England and Wales (and Northern Ireland), those convicted of homosexual acts which are no longer illegal are entitled to have their convictions “disregarded” or pardoned upon application to the Home Office.</w:t>
      </w:r>
      <w:r w:rsidRPr="00582E16">
        <w:rPr>
          <w:rStyle w:val="FootnoteReference"/>
          <w:rFonts w:ascii="Times" w:hAnsi="Times"/>
          <w:sz w:val="22"/>
          <w:szCs w:val="22"/>
        </w:rPr>
        <w:footnoteReference w:id="20"/>
      </w:r>
    </w:p>
    <w:p w14:paraId="0C795B27" w14:textId="77777777" w:rsidR="00933E56" w:rsidRDefault="00933E56" w:rsidP="00933E56">
      <w:pPr>
        <w:jc w:val="both"/>
        <w:rPr>
          <w:rFonts w:ascii="Times" w:hAnsi="Times"/>
          <w:sz w:val="22"/>
          <w:szCs w:val="22"/>
        </w:rPr>
      </w:pPr>
    </w:p>
    <w:p w14:paraId="7C71014A" w14:textId="77777777" w:rsidR="00933E56" w:rsidRPr="00582E16" w:rsidRDefault="00933E56" w:rsidP="00933E56">
      <w:pPr>
        <w:jc w:val="both"/>
        <w:rPr>
          <w:rFonts w:ascii="Times" w:hAnsi="Times"/>
          <w:sz w:val="22"/>
          <w:szCs w:val="22"/>
        </w:rPr>
      </w:pPr>
      <w:r w:rsidRPr="00582E16">
        <w:rPr>
          <w:rFonts w:ascii="Times" w:hAnsi="Times"/>
          <w:sz w:val="22"/>
          <w:szCs w:val="22"/>
        </w:rPr>
        <w:t>With respect to recreational marijuana, however, the answer remains “no.”</w:t>
      </w:r>
      <w:r w:rsidRPr="00582E16">
        <w:rPr>
          <w:rStyle w:val="FootnoteReference"/>
          <w:rFonts w:ascii="Times" w:hAnsi="Times"/>
          <w:sz w:val="22"/>
          <w:szCs w:val="22"/>
        </w:rPr>
        <w:footnoteReference w:id="21"/>
      </w:r>
      <w:r w:rsidRPr="00582E16">
        <w:rPr>
          <w:rFonts w:ascii="Times" w:hAnsi="Times"/>
          <w:sz w:val="22"/>
          <w:szCs w:val="22"/>
        </w:rPr>
        <w:t xml:space="preserve"> Canada has recently discussed a pardoning mechanism in response to the country’s recent legalization of recreational marijuana.</w:t>
      </w:r>
      <w:r w:rsidRPr="00582E16">
        <w:rPr>
          <w:rStyle w:val="FootnoteReference"/>
          <w:rFonts w:ascii="Times" w:hAnsi="Times"/>
          <w:sz w:val="22"/>
          <w:szCs w:val="22"/>
        </w:rPr>
        <w:footnoteReference w:id="22"/>
      </w:r>
      <w:r w:rsidRPr="00582E16">
        <w:rPr>
          <w:rFonts w:ascii="Times" w:hAnsi="Times"/>
          <w:sz w:val="22"/>
          <w:szCs w:val="22"/>
        </w:rPr>
        <w:t xml:space="preserve"> If the a scheme is implemented, Canadians who were previously convicted of mere possession of small amounts of marijuana (which is now fully legal) will qualify for the pardon.  However, the individual’s criminal record will not be entirely erased, but will rather “be kept separate from other criminal records.”</w:t>
      </w:r>
      <w:r w:rsidRPr="00582E16">
        <w:rPr>
          <w:rStyle w:val="FootnoteReference"/>
          <w:rFonts w:ascii="Times" w:hAnsi="Times"/>
          <w:sz w:val="22"/>
          <w:szCs w:val="22"/>
        </w:rPr>
        <w:footnoteReference w:id="23"/>
      </w:r>
      <w:r w:rsidRPr="00582E16">
        <w:rPr>
          <w:rFonts w:ascii="Times" w:hAnsi="Times"/>
          <w:sz w:val="22"/>
          <w:szCs w:val="22"/>
        </w:rPr>
        <w:t xml:space="preserve"> Furthermore, the person will still have to check the “convicted of a criminal offense” option on a housing or employment application.</w:t>
      </w:r>
      <w:r w:rsidRPr="00582E16">
        <w:rPr>
          <w:rStyle w:val="FootnoteReference"/>
          <w:rFonts w:ascii="Times" w:hAnsi="Times"/>
          <w:sz w:val="22"/>
          <w:szCs w:val="22"/>
        </w:rPr>
        <w:footnoteReference w:id="24"/>
      </w:r>
      <w:r w:rsidRPr="00582E16">
        <w:rPr>
          <w:rFonts w:ascii="Times" w:hAnsi="Times"/>
          <w:sz w:val="22"/>
          <w:szCs w:val="22"/>
        </w:rPr>
        <w:t xml:space="preserve">  As such, even the proposed Canadian scheme seems to offer little relief to those with previous convictions for what is now regarded as fully legal conduct. </w:t>
      </w:r>
    </w:p>
    <w:p w14:paraId="26AAAB0E" w14:textId="77777777" w:rsidR="00933E56" w:rsidRPr="00582E16" w:rsidRDefault="00933E56" w:rsidP="00933E56">
      <w:pPr>
        <w:jc w:val="both"/>
        <w:rPr>
          <w:rFonts w:ascii="Times" w:hAnsi="Times"/>
          <w:sz w:val="22"/>
          <w:szCs w:val="22"/>
        </w:rPr>
      </w:pPr>
    </w:p>
    <w:p w14:paraId="45D0BAB1" w14:textId="77777777" w:rsidR="00727B0C" w:rsidRDefault="00727B0C" w:rsidP="002E0CA7">
      <w:pPr>
        <w:jc w:val="both"/>
        <w:rPr>
          <w:rFonts w:ascii="Times" w:hAnsi="Times"/>
          <w:sz w:val="22"/>
          <w:szCs w:val="22"/>
        </w:rPr>
      </w:pPr>
    </w:p>
    <w:p w14:paraId="7396F8CE" w14:textId="774C7BDB" w:rsidR="00727B0C" w:rsidRPr="00727B0C" w:rsidRDefault="00727B0C" w:rsidP="002E0CA7">
      <w:pPr>
        <w:jc w:val="both"/>
        <w:rPr>
          <w:rFonts w:ascii="Times" w:hAnsi="Times"/>
          <w:b/>
          <w:sz w:val="22"/>
          <w:szCs w:val="22"/>
        </w:rPr>
      </w:pPr>
      <w:r w:rsidRPr="00727B0C">
        <w:rPr>
          <w:rFonts w:ascii="Times" w:hAnsi="Times"/>
          <w:b/>
          <w:sz w:val="22"/>
          <w:szCs w:val="22"/>
        </w:rPr>
        <w:t xml:space="preserve">Remedies </w:t>
      </w:r>
      <w:r w:rsidR="00933E56">
        <w:rPr>
          <w:rFonts w:ascii="Times" w:hAnsi="Times"/>
          <w:b/>
          <w:sz w:val="22"/>
          <w:szCs w:val="22"/>
        </w:rPr>
        <w:t xml:space="preserve">and Moving Forward </w:t>
      </w:r>
    </w:p>
    <w:p w14:paraId="2CADDAD3" w14:textId="1568B5AC" w:rsidR="00727B0C" w:rsidRPr="00582E16" w:rsidRDefault="00727B0C" w:rsidP="00727B0C">
      <w:pPr>
        <w:jc w:val="both"/>
        <w:outlineLvl w:val="1"/>
        <w:rPr>
          <w:rFonts w:ascii="Times" w:hAnsi="Times"/>
          <w:sz w:val="22"/>
          <w:szCs w:val="22"/>
          <w:u w:val="single"/>
        </w:rPr>
      </w:pPr>
      <w:r w:rsidRPr="00582E16">
        <w:rPr>
          <w:rFonts w:ascii="Times" w:hAnsi="Times"/>
          <w:sz w:val="22"/>
          <w:szCs w:val="22"/>
          <w:u w:val="single"/>
        </w:rPr>
        <w:t xml:space="preserve"> </w:t>
      </w:r>
    </w:p>
    <w:p w14:paraId="24B09B82" w14:textId="71BB2CBF" w:rsidR="00727B0C" w:rsidRDefault="00727B0C" w:rsidP="00727B0C">
      <w:pPr>
        <w:jc w:val="both"/>
        <w:rPr>
          <w:rFonts w:ascii="Times" w:hAnsi="Times"/>
          <w:sz w:val="22"/>
          <w:szCs w:val="22"/>
        </w:rPr>
      </w:pPr>
      <w:r w:rsidRPr="00582E16">
        <w:rPr>
          <w:rFonts w:ascii="Times" w:hAnsi="Times"/>
          <w:sz w:val="22"/>
          <w:szCs w:val="22"/>
        </w:rPr>
        <w:t xml:space="preserve">In order to fashion effective legislative remedies granting expungement-type remedies for those previously convicted of prostitution-related offenses, it is necessary to understand </w:t>
      </w:r>
      <w:r w:rsidR="00A607F4" w:rsidRPr="00582E16">
        <w:rPr>
          <w:rFonts w:ascii="Times" w:hAnsi="Times"/>
          <w:sz w:val="22"/>
          <w:szCs w:val="22"/>
        </w:rPr>
        <w:t>the purpose</w:t>
      </w:r>
      <w:r w:rsidRPr="00582E16">
        <w:rPr>
          <w:rFonts w:ascii="Times" w:hAnsi="Times"/>
          <w:sz w:val="22"/>
          <w:szCs w:val="22"/>
        </w:rPr>
        <w:t xml:space="preserve"> and methods of keeping of criminal records in the relevant jurisdictions at issue.</w:t>
      </w:r>
      <w:r w:rsidRPr="00582E16">
        <w:rPr>
          <w:rStyle w:val="FootnoteReference"/>
          <w:rFonts w:ascii="Times" w:hAnsi="Times"/>
          <w:sz w:val="22"/>
          <w:szCs w:val="22"/>
        </w:rPr>
        <w:footnoteReference w:id="25"/>
      </w:r>
      <w:r w:rsidRPr="00582E16">
        <w:rPr>
          <w:rFonts w:ascii="Times" w:hAnsi="Times"/>
          <w:sz w:val="22"/>
          <w:szCs w:val="22"/>
        </w:rPr>
        <w:t xml:space="preserve"> Issues to consider surrounding criminal records include:  (1) the creation of the record, (2) the type of record, (3) the agencies that keep the information, (4) where the information kept, (5) who has access to the record, (6) how is the record distributed, (7) and, finally, how to amend/seal/or expunge the record.  </w:t>
      </w:r>
      <w:r w:rsidR="006D6BF6">
        <w:rPr>
          <w:rFonts w:ascii="Times" w:hAnsi="Times"/>
          <w:sz w:val="22"/>
          <w:szCs w:val="22"/>
        </w:rPr>
        <w:t xml:space="preserve">Depending on the particular system, a framework for expungement – or an expungement-type effect – can be developed. </w:t>
      </w:r>
    </w:p>
    <w:p w14:paraId="4C386CAE" w14:textId="77777777" w:rsidR="00933E56" w:rsidRDefault="00933E56" w:rsidP="00727B0C">
      <w:pPr>
        <w:jc w:val="both"/>
        <w:rPr>
          <w:rFonts w:ascii="Times" w:hAnsi="Times"/>
          <w:sz w:val="22"/>
          <w:szCs w:val="22"/>
        </w:rPr>
      </w:pPr>
    </w:p>
    <w:p w14:paraId="2BAE2D3F" w14:textId="6F9BDAEE" w:rsidR="00933E56" w:rsidRPr="00582E16" w:rsidRDefault="00933E56" w:rsidP="00727B0C">
      <w:pPr>
        <w:jc w:val="both"/>
        <w:rPr>
          <w:rFonts w:ascii="Times" w:hAnsi="Times"/>
          <w:sz w:val="22"/>
          <w:szCs w:val="22"/>
        </w:rPr>
      </w:pPr>
      <w:r>
        <w:rPr>
          <w:rFonts w:ascii="Times" w:hAnsi="Times"/>
          <w:sz w:val="22"/>
          <w:szCs w:val="22"/>
        </w:rPr>
        <w:t>In addition to addressing the specific legal processes for recording and disclosing criminal records, there are associated issues that could be remedied – for example, advocacy with employers and recruitment services in order to lessen the impact of disclosure, as well as other arenas such as the schools that women’s children atten</w:t>
      </w:r>
      <w:r w:rsidR="006D6BF6">
        <w:rPr>
          <w:rFonts w:ascii="Times" w:hAnsi="Times"/>
          <w:sz w:val="22"/>
          <w:szCs w:val="22"/>
        </w:rPr>
        <w:t xml:space="preserve">d and volunteer opportunities. Other possibilities include specialist recruitment support for this group of women, peer support, and therapeutic intervention in later life. </w:t>
      </w:r>
    </w:p>
    <w:p w14:paraId="6E82D838" w14:textId="77777777" w:rsidR="00727B0C" w:rsidRDefault="00727B0C" w:rsidP="002E0CA7">
      <w:pPr>
        <w:jc w:val="both"/>
        <w:rPr>
          <w:rFonts w:ascii="Times" w:hAnsi="Times"/>
          <w:sz w:val="22"/>
          <w:szCs w:val="22"/>
        </w:rPr>
      </w:pPr>
    </w:p>
    <w:p w14:paraId="4354A5FA" w14:textId="4A72F507" w:rsidR="006D6BF6" w:rsidRDefault="006D6BF6" w:rsidP="002E0CA7">
      <w:pPr>
        <w:jc w:val="both"/>
        <w:rPr>
          <w:rFonts w:ascii="Times" w:hAnsi="Times"/>
          <w:sz w:val="22"/>
          <w:szCs w:val="22"/>
        </w:rPr>
      </w:pPr>
      <w:r>
        <w:rPr>
          <w:rFonts w:ascii="Times" w:hAnsi="Times"/>
          <w:sz w:val="22"/>
          <w:szCs w:val="22"/>
        </w:rPr>
        <w:t xml:space="preserve">Moving forward it is proposed that a toolkit be developed that can be used as a model for addressing this issue within specific jurisdictions, to be adopted by interested influencers and activists internationally. </w:t>
      </w:r>
    </w:p>
    <w:p w14:paraId="39443A43" w14:textId="77777777" w:rsidR="006D6BF6" w:rsidRDefault="006D6BF6" w:rsidP="002E0CA7">
      <w:pPr>
        <w:jc w:val="both"/>
        <w:rPr>
          <w:rFonts w:ascii="Times" w:hAnsi="Times"/>
          <w:sz w:val="22"/>
          <w:szCs w:val="22"/>
        </w:rPr>
      </w:pPr>
    </w:p>
    <w:p w14:paraId="4D0AB3F8" w14:textId="73D5189D" w:rsidR="006D6BF6" w:rsidRDefault="006D6BF6" w:rsidP="002E0CA7">
      <w:pPr>
        <w:jc w:val="both"/>
        <w:rPr>
          <w:rFonts w:ascii="Times" w:hAnsi="Times"/>
          <w:sz w:val="22"/>
          <w:szCs w:val="22"/>
        </w:rPr>
      </w:pPr>
      <w:r>
        <w:rPr>
          <w:rFonts w:ascii="Times" w:hAnsi="Times"/>
          <w:sz w:val="22"/>
          <w:szCs w:val="22"/>
        </w:rPr>
        <w:t xml:space="preserve">Next steps include: </w:t>
      </w:r>
    </w:p>
    <w:p w14:paraId="45128DC2" w14:textId="77777777" w:rsidR="006D6BF6" w:rsidRDefault="006D6BF6" w:rsidP="002E0CA7">
      <w:pPr>
        <w:jc w:val="both"/>
        <w:rPr>
          <w:rFonts w:ascii="Times" w:hAnsi="Times"/>
          <w:sz w:val="22"/>
          <w:szCs w:val="22"/>
        </w:rPr>
      </w:pPr>
    </w:p>
    <w:p w14:paraId="2EA71F47" w14:textId="110E52C8" w:rsidR="006D6BF6" w:rsidRDefault="006D6BF6" w:rsidP="002E0CA7">
      <w:pPr>
        <w:jc w:val="both"/>
        <w:rPr>
          <w:rFonts w:ascii="Times" w:hAnsi="Times"/>
          <w:sz w:val="22"/>
          <w:szCs w:val="22"/>
        </w:rPr>
      </w:pPr>
      <w:r>
        <w:rPr>
          <w:rFonts w:ascii="Times" w:hAnsi="Times"/>
          <w:sz w:val="22"/>
          <w:szCs w:val="22"/>
        </w:rPr>
        <w:t xml:space="preserve">1) Identify key language, policies, and legal instruments that could be adopted </w:t>
      </w:r>
    </w:p>
    <w:p w14:paraId="5C67B16C" w14:textId="77777777" w:rsidR="006D6BF6" w:rsidRDefault="006D6BF6" w:rsidP="002E0CA7">
      <w:pPr>
        <w:jc w:val="both"/>
        <w:rPr>
          <w:rFonts w:ascii="Times" w:hAnsi="Times"/>
          <w:sz w:val="22"/>
          <w:szCs w:val="22"/>
        </w:rPr>
      </w:pPr>
    </w:p>
    <w:p w14:paraId="6D8A6E43" w14:textId="233EF920" w:rsidR="006D6BF6" w:rsidRDefault="006D6BF6" w:rsidP="002E0CA7">
      <w:pPr>
        <w:jc w:val="both"/>
        <w:rPr>
          <w:rFonts w:ascii="Times" w:hAnsi="Times"/>
          <w:sz w:val="22"/>
          <w:szCs w:val="22"/>
        </w:rPr>
      </w:pPr>
      <w:r>
        <w:rPr>
          <w:rFonts w:ascii="Times" w:hAnsi="Times"/>
          <w:sz w:val="22"/>
          <w:szCs w:val="22"/>
        </w:rPr>
        <w:t xml:space="preserve">2) Explore other systems of intervention </w:t>
      </w:r>
    </w:p>
    <w:p w14:paraId="72B4F59A" w14:textId="77777777" w:rsidR="006D6BF6" w:rsidRDefault="006D6BF6" w:rsidP="002E0CA7">
      <w:pPr>
        <w:jc w:val="both"/>
        <w:rPr>
          <w:rFonts w:ascii="Times" w:hAnsi="Times"/>
          <w:sz w:val="22"/>
          <w:szCs w:val="22"/>
        </w:rPr>
      </w:pPr>
    </w:p>
    <w:p w14:paraId="646888FE" w14:textId="341E12A4" w:rsidR="006D6BF6" w:rsidRDefault="006D6BF6" w:rsidP="002E0CA7">
      <w:pPr>
        <w:jc w:val="both"/>
        <w:rPr>
          <w:rFonts w:ascii="Times" w:hAnsi="Times"/>
          <w:sz w:val="22"/>
          <w:szCs w:val="22"/>
        </w:rPr>
      </w:pPr>
      <w:r>
        <w:rPr>
          <w:rFonts w:ascii="Times" w:hAnsi="Times"/>
          <w:sz w:val="22"/>
          <w:szCs w:val="22"/>
        </w:rPr>
        <w:t xml:space="preserve">3) Identify those who could a) further the implementation of such interventions in their jurisdiction of interest and b) have the authority to authorize changes in policy, law, and practice </w:t>
      </w:r>
    </w:p>
    <w:p w14:paraId="3A93E2C0" w14:textId="77777777" w:rsidR="006D6BF6" w:rsidRDefault="006D6BF6" w:rsidP="002E0CA7">
      <w:pPr>
        <w:jc w:val="both"/>
        <w:rPr>
          <w:rFonts w:ascii="Times" w:hAnsi="Times"/>
          <w:sz w:val="22"/>
          <w:szCs w:val="22"/>
        </w:rPr>
      </w:pPr>
    </w:p>
    <w:p w14:paraId="566EB04C" w14:textId="3366CECB" w:rsidR="006D6BF6" w:rsidRDefault="006D6BF6" w:rsidP="002E0CA7">
      <w:pPr>
        <w:jc w:val="both"/>
        <w:rPr>
          <w:rFonts w:ascii="Times" w:hAnsi="Times"/>
          <w:sz w:val="22"/>
          <w:szCs w:val="22"/>
        </w:rPr>
      </w:pPr>
      <w:r>
        <w:rPr>
          <w:rFonts w:ascii="Times" w:hAnsi="Times"/>
          <w:sz w:val="22"/>
          <w:szCs w:val="22"/>
        </w:rPr>
        <w:t>4) Conducting a more thorough, UK specific, analysis of the possibility for legal intervention</w:t>
      </w:r>
    </w:p>
    <w:p w14:paraId="749D0900" w14:textId="77777777" w:rsidR="006D6BF6" w:rsidRDefault="006D6BF6" w:rsidP="002E0CA7">
      <w:pPr>
        <w:jc w:val="both"/>
        <w:rPr>
          <w:rFonts w:ascii="Times" w:hAnsi="Times"/>
          <w:sz w:val="22"/>
          <w:szCs w:val="22"/>
        </w:rPr>
      </w:pPr>
    </w:p>
    <w:p w14:paraId="10128C6C" w14:textId="6C75604D" w:rsidR="006D6BF6" w:rsidRDefault="006D6BF6" w:rsidP="002E0CA7">
      <w:pPr>
        <w:jc w:val="both"/>
        <w:rPr>
          <w:rFonts w:ascii="Times" w:hAnsi="Times"/>
          <w:sz w:val="22"/>
          <w:szCs w:val="22"/>
        </w:rPr>
      </w:pPr>
      <w:r>
        <w:rPr>
          <w:rFonts w:ascii="Times" w:hAnsi="Times"/>
          <w:sz w:val="22"/>
          <w:szCs w:val="22"/>
        </w:rPr>
        <w:t>As a first point of action, we suggest consulting with our networks to identify:</w:t>
      </w:r>
    </w:p>
    <w:p w14:paraId="2ADFF2E1" w14:textId="77777777" w:rsidR="006D6BF6" w:rsidRDefault="006D6BF6" w:rsidP="002E0CA7">
      <w:pPr>
        <w:jc w:val="both"/>
        <w:rPr>
          <w:rFonts w:ascii="Times" w:hAnsi="Times"/>
          <w:sz w:val="22"/>
          <w:szCs w:val="22"/>
        </w:rPr>
      </w:pPr>
    </w:p>
    <w:p w14:paraId="6DFC5D82" w14:textId="5783FB80" w:rsidR="006D6BF6" w:rsidRDefault="006D6BF6" w:rsidP="002E0CA7">
      <w:pPr>
        <w:jc w:val="both"/>
        <w:rPr>
          <w:rFonts w:ascii="Times" w:hAnsi="Times"/>
          <w:sz w:val="22"/>
          <w:szCs w:val="22"/>
        </w:rPr>
      </w:pPr>
      <w:r>
        <w:rPr>
          <w:rFonts w:ascii="Times" w:hAnsi="Times"/>
          <w:sz w:val="22"/>
          <w:szCs w:val="22"/>
        </w:rPr>
        <w:t xml:space="preserve">1) Whether they are aware of any activities, law, policy, or practice that mitigates against the effect of holding a criminal record </w:t>
      </w:r>
    </w:p>
    <w:p w14:paraId="059C4808" w14:textId="77777777" w:rsidR="006D6BF6" w:rsidRDefault="006D6BF6" w:rsidP="002E0CA7">
      <w:pPr>
        <w:jc w:val="both"/>
        <w:rPr>
          <w:rFonts w:ascii="Times" w:hAnsi="Times"/>
          <w:sz w:val="22"/>
          <w:szCs w:val="22"/>
        </w:rPr>
      </w:pPr>
    </w:p>
    <w:p w14:paraId="7D5437DC" w14:textId="6AA5207D" w:rsidR="006D6BF6" w:rsidRDefault="006D6BF6" w:rsidP="002E0CA7">
      <w:pPr>
        <w:jc w:val="both"/>
        <w:rPr>
          <w:rFonts w:ascii="Times" w:hAnsi="Times"/>
          <w:sz w:val="22"/>
          <w:szCs w:val="22"/>
        </w:rPr>
      </w:pPr>
      <w:r>
        <w:rPr>
          <w:rFonts w:ascii="Times" w:hAnsi="Times"/>
          <w:sz w:val="22"/>
          <w:szCs w:val="22"/>
        </w:rPr>
        <w:t xml:space="preserve">2) Ideas for implementing change within their jurisdiction </w:t>
      </w:r>
    </w:p>
    <w:p w14:paraId="22EFF560" w14:textId="77777777" w:rsidR="006D6BF6" w:rsidRDefault="006D6BF6" w:rsidP="002E0CA7">
      <w:pPr>
        <w:jc w:val="both"/>
        <w:rPr>
          <w:rFonts w:ascii="Times" w:hAnsi="Times"/>
          <w:sz w:val="22"/>
          <w:szCs w:val="22"/>
        </w:rPr>
      </w:pPr>
    </w:p>
    <w:p w14:paraId="5BDC5997" w14:textId="2F65CB33" w:rsidR="006D6BF6" w:rsidRDefault="006D6BF6" w:rsidP="002E0CA7">
      <w:pPr>
        <w:jc w:val="both"/>
        <w:rPr>
          <w:rFonts w:ascii="Times" w:hAnsi="Times"/>
          <w:sz w:val="22"/>
          <w:szCs w:val="22"/>
        </w:rPr>
      </w:pPr>
      <w:r>
        <w:rPr>
          <w:rFonts w:ascii="Times" w:hAnsi="Times"/>
          <w:sz w:val="22"/>
          <w:szCs w:val="22"/>
        </w:rPr>
        <w:t xml:space="preserve">3) Key decision makers and persons of influence </w:t>
      </w:r>
    </w:p>
    <w:p w14:paraId="0A17FFF1" w14:textId="77777777" w:rsidR="006D6BF6" w:rsidRDefault="006D6BF6" w:rsidP="002E0CA7">
      <w:pPr>
        <w:jc w:val="both"/>
        <w:rPr>
          <w:rFonts w:ascii="Times" w:hAnsi="Times"/>
          <w:sz w:val="22"/>
          <w:szCs w:val="22"/>
        </w:rPr>
      </w:pPr>
    </w:p>
    <w:p w14:paraId="55C26AE2" w14:textId="2B7933B8" w:rsidR="006D6BF6" w:rsidRDefault="006D6BF6" w:rsidP="002E0CA7">
      <w:pPr>
        <w:jc w:val="both"/>
        <w:rPr>
          <w:rFonts w:ascii="Times" w:hAnsi="Times"/>
          <w:sz w:val="22"/>
          <w:szCs w:val="22"/>
        </w:rPr>
      </w:pPr>
      <w:r>
        <w:rPr>
          <w:rFonts w:ascii="Times" w:hAnsi="Times"/>
          <w:sz w:val="22"/>
          <w:szCs w:val="22"/>
        </w:rPr>
        <w:t xml:space="preserve">In addition, we suggest liaising with legal experts within the UK to analyse the possibilities for legal intervention </w:t>
      </w:r>
      <w:r w:rsidR="00D45105">
        <w:rPr>
          <w:rFonts w:ascii="Times" w:hAnsi="Times"/>
          <w:sz w:val="22"/>
          <w:szCs w:val="22"/>
        </w:rPr>
        <w:t xml:space="preserve">and determine a plan for implementing such changes. </w:t>
      </w:r>
      <w:r w:rsidR="00D45105">
        <w:rPr>
          <w:rFonts w:ascii="Times" w:hAnsi="Times"/>
          <w:sz w:val="22"/>
          <w:szCs w:val="22"/>
        </w:rPr>
        <w:t>This would include analysing at which points in the system changes can be made, whether blanket amnesty can be implemented or a system of individual applications, and identifying key decision makers to influence.</w:t>
      </w:r>
    </w:p>
    <w:p w14:paraId="63C1E6B8" w14:textId="77777777" w:rsidR="00D45105" w:rsidRDefault="00D45105" w:rsidP="002E0CA7">
      <w:pPr>
        <w:jc w:val="both"/>
        <w:rPr>
          <w:rFonts w:ascii="Times" w:hAnsi="Times"/>
          <w:sz w:val="22"/>
          <w:szCs w:val="22"/>
        </w:rPr>
      </w:pPr>
    </w:p>
    <w:p w14:paraId="20BD089F" w14:textId="77777777" w:rsidR="00D45105" w:rsidRDefault="00D45105" w:rsidP="002E0CA7">
      <w:pPr>
        <w:jc w:val="both"/>
        <w:rPr>
          <w:rFonts w:ascii="Times" w:hAnsi="Times"/>
          <w:sz w:val="22"/>
          <w:szCs w:val="22"/>
        </w:rPr>
      </w:pPr>
    </w:p>
    <w:p w14:paraId="329CA0E7" w14:textId="77777777" w:rsidR="00D45105" w:rsidRDefault="00D45105" w:rsidP="002E0CA7">
      <w:pPr>
        <w:jc w:val="both"/>
        <w:rPr>
          <w:rFonts w:ascii="Times" w:hAnsi="Times"/>
          <w:sz w:val="22"/>
          <w:szCs w:val="22"/>
        </w:rPr>
      </w:pPr>
    </w:p>
    <w:p w14:paraId="3DD57A16" w14:textId="0265217F" w:rsidR="00D45105" w:rsidRDefault="00D45105" w:rsidP="002E0CA7">
      <w:pPr>
        <w:jc w:val="both"/>
        <w:rPr>
          <w:rFonts w:ascii="Times" w:hAnsi="Times"/>
          <w:b/>
          <w:sz w:val="22"/>
          <w:szCs w:val="22"/>
        </w:rPr>
      </w:pPr>
      <w:r>
        <w:rPr>
          <w:rFonts w:ascii="Times" w:hAnsi="Times"/>
          <w:b/>
          <w:sz w:val="22"/>
          <w:szCs w:val="22"/>
        </w:rPr>
        <w:t>Summary</w:t>
      </w:r>
    </w:p>
    <w:p w14:paraId="41B9725D" w14:textId="77777777" w:rsidR="00D45105" w:rsidRDefault="00D45105" w:rsidP="002E0CA7">
      <w:pPr>
        <w:jc w:val="both"/>
        <w:rPr>
          <w:rFonts w:ascii="Times" w:hAnsi="Times"/>
          <w:b/>
          <w:sz w:val="22"/>
          <w:szCs w:val="22"/>
        </w:rPr>
      </w:pPr>
    </w:p>
    <w:p w14:paraId="7CC2B217" w14:textId="6C65BC70" w:rsidR="00D45105" w:rsidRDefault="00D45105" w:rsidP="002E0CA7">
      <w:pPr>
        <w:jc w:val="both"/>
        <w:rPr>
          <w:rFonts w:ascii="Times" w:hAnsi="Times"/>
          <w:sz w:val="22"/>
          <w:szCs w:val="22"/>
        </w:rPr>
      </w:pPr>
      <w:r>
        <w:rPr>
          <w:rFonts w:ascii="Times" w:hAnsi="Times"/>
          <w:sz w:val="22"/>
          <w:szCs w:val="22"/>
        </w:rPr>
        <w:t xml:space="preserve">At present, there is no legal framework for expungement of criminal records, aside from some provision for trafficking victims to apply on an individual basis within several states within the United States. In addition to the need for changes in the law, it is also necessary to have other systems of support to mitigate against the impact of holding a criminal record. </w:t>
      </w:r>
    </w:p>
    <w:p w14:paraId="3B52A3E1" w14:textId="77777777" w:rsidR="00D45105" w:rsidRDefault="00D45105" w:rsidP="002E0CA7">
      <w:pPr>
        <w:jc w:val="both"/>
        <w:rPr>
          <w:rFonts w:ascii="Times" w:hAnsi="Times"/>
          <w:sz w:val="22"/>
          <w:szCs w:val="22"/>
        </w:rPr>
      </w:pPr>
    </w:p>
    <w:p w14:paraId="15FAFC64" w14:textId="248F05A5" w:rsidR="00D45105" w:rsidRDefault="00D45105" w:rsidP="002E0CA7">
      <w:pPr>
        <w:jc w:val="both"/>
        <w:rPr>
          <w:rFonts w:ascii="Times" w:hAnsi="Times"/>
          <w:sz w:val="22"/>
          <w:szCs w:val="22"/>
        </w:rPr>
      </w:pPr>
      <w:r>
        <w:rPr>
          <w:rFonts w:ascii="Times" w:hAnsi="Times"/>
          <w:sz w:val="22"/>
          <w:szCs w:val="22"/>
        </w:rPr>
        <w:t xml:space="preserve">It is proposed that a toolkit is developed for international use as well as identifying how to effect legal change within the UK specifically. </w:t>
      </w:r>
    </w:p>
    <w:p w14:paraId="58B14ACA" w14:textId="77777777" w:rsidR="00D45105" w:rsidRDefault="00D45105" w:rsidP="002E0CA7">
      <w:pPr>
        <w:jc w:val="both"/>
        <w:rPr>
          <w:rFonts w:ascii="Times" w:hAnsi="Times"/>
          <w:sz w:val="22"/>
          <w:szCs w:val="22"/>
        </w:rPr>
      </w:pPr>
    </w:p>
    <w:p w14:paraId="0EC4FF2E" w14:textId="1850E4C2" w:rsidR="00D45105" w:rsidRPr="00D45105" w:rsidRDefault="00D45105" w:rsidP="002E0CA7">
      <w:pPr>
        <w:jc w:val="both"/>
        <w:rPr>
          <w:rFonts w:ascii="Times" w:hAnsi="Times"/>
          <w:sz w:val="22"/>
          <w:szCs w:val="22"/>
        </w:rPr>
      </w:pPr>
      <w:r>
        <w:rPr>
          <w:rFonts w:ascii="Times" w:hAnsi="Times"/>
          <w:sz w:val="22"/>
          <w:szCs w:val="22"/>
        </w:rPr>
        <w:t>Initial points of action would be firstly, to consult with in</w:t>
      </w:r>
      <w:r w:rsidR="00A607F4">
        <w:rPr>
          <w:rFonts w:ascii="Times" w:hAnsi="Times"/>
          <w:sz w:val="22"/>
          <w:szCs w:val="22"/>
        </w:rPr>
        <w:t>ternational networks on possible</w:t>
      </w:r>
      <w:r>
        <w:rPr>
          <w:rFonts w:ascii="Times" w:hAnsi="Times"/>
          <w:sz w:val="22"/>
          <w:szCs w:val="22"/>
        </w:rPr>
        <w:t xml:space="preserve"> systems of intervention and secondly, to develop an action plan for within the UK. </w:t>
      </w:r>
    </w:p>
    <w:p w14:paraId="0F408DFD" w14:textId="77777777" w:rsidR="006D6BF6" w:rsidRPr="00582E16" w:rsidRDefault="006D6BF6" w:rsidP="002E0CA7">
      <w:pPr>
        <w:jc w:val="both"/>
        <w:rPr>
          <w:rFonts w:ascii="Times" w:hAnsi="Times"/>
          <w:sz w:val="22"/>
          <w:szCs w:val="22"/>
        </w:rPr>
      </w:pPr>
    </w:p>
    <w:p w14:paraId="29EC95A0" w14:textId="77777777" w:rsidR="002E0CA7" w:rsidRPr="002E0CA7" w:rsidRDefault="002E0CA7" w:rsidP="003C1F4C">
      <w:pPr>
        <w:rPr>
          <w:rFonts w:ascii="Times" w:hAnsi="Times"/>
          <w:sz w:val="22"/>
          <w:szCs w:val="22"/>
        </w:rPr>
      </w:pPr>
    </w:p>
    <w:p w14:paraId="4A153AC1" w14:textId="77777777" w:rsidR="007F2745" w:rsidRDefault="007F2745" w:rsidP="00AF7F47">
      <w:pPr>
        <w:ind w:left="720"/>
        <w:jc w:val="both"/>
        <w:rPr>
          <w:rFonts w:ascii="Times" w:hAnsi="Times"/>
          <w:sz w:val="22"/>
          <w:szCs w:val="22"/>
        </w:rPr>
      </w:pPr>
    </w:p>
    <w:p w14:paraId="2B7BC8E5" w14:textId="77777777" w:rsidR="007F2745" w:rsidRPr="00582E16" w:rsidRDefault="007F2745" w:rsidP="00AF7F47">
      <w:pPr>
        <w:ind w:left="720"/>
        <w:jc w:val="both"/>
        <w:rPr>
          <w:rFonts w:ascii="Times" w:hAnsi="Times"/>
          <w:sz w:val="22"/>
          <w:szCs w:val="22"/>
        </w:rPr>
      </w:pPr>
    </w:p>
    <w:p w14:paraId="643D778D" w14:textId="77777777" w:rsidR="00AF7F47" w:rsidRDefault="00AF7F47" w:rsidP="003C1F4C">
      <w:pPr>
        <w:rPr>
          <w:rFonts w:ascii="Times" w:hAnsi="Times"/>
          <w:sz w:val="22"/>
          <w:szCs w:val="22"/>
        </w:rPr>
      </w:pPr>
    </w:p>
    <w:p w14:paraId="25203564" w14:textId="77777777" w:rsidR="00AF7F47" w:rsidRPr="003C1F4C" w:rsidRDefault="00AF7F47" w:rsidP="003C1F4C">
      <w:pPr>
        <w:rPr>
          <w:rFonts w:ascii="Times" w:hAnsi="Times"/>
          <w:sz w:val="22"/>
          <w:szCs w:val="22"/>
        </w:rPr>
      </w:pPr>
    </w:p>
    <w:p w14:paraId="5FACF6A6" w14:textId="77777777" w:rsidR="005944E8" w:rsidRPr="005944E8" w:rsidRDefault="005944E8" w:rsidP="005944E8">
      <w:pPr>
        <w:jc w:val="center"/>
        <w:rPr>
          <w:rFonts w:ascii="Times" w:hAnsi="Times"/>
          <w:sz w:val="22"/>
          <w:szCs w:val="22"/>
        </w:rPr>
      </w:pPr>
    </w:p>
    <w:sectPr w:rsidR="005944E8" w:rsidRPr="005944E8" w:rsidSect="00251C5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F4713" w14:textId="77777777" w:rsidR="006D6BF6" w:rsidRDefault="006D6BF6" w:rsidP="007F2745">
      <w:r>
        <w:separator/>
      </w:r>
    </w:p>
  </w:endnote>
  <w:endnote w:type="continuationSeparator" w:id="0">
    <w:p w14:paraId="2E6F9F85" w14:textId="77777777" w:rsidR="006D6BF6" w:rsidRDefault="006D6BF6" w:rsidP="007F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0D8F2" w14:textId="77777777" w:rsidR="006D6BF6" w:rsidRDefault="006D6BF6" w:rsidP="007F2745">
      <w:r>
        <w:separator/>
      </w:r>
    </w:p>
  </w:footnote>
  <w:footnote w:type="continuationSeparator" w:id="0">
    <w:p w14:paraId="2E53999B" w14:textId="77777777" w:rsidR="006D6BF6" w:rsidRDefault="006D6BF6" w:rsidP="007F2745">
      <w:r>
        <w:continuationSeparator/>
      </w:r>
    </w:p>
  </w:footnote>
  <w:footnote w:id="1">
    <w:p w14:paraId="0C19FB63" w14:textId="28959014" w:rsidR="006D6BF6" w:rsidRPr="007F2745" w:rsidRDefault="006D6BF6">
      <w:pPr>
        <w:pStyle w:val="FootnoteText"/>
        <w:rPr>
          <w:rFonts w:ascii="Times New Roman" w:hAnsi="Times New Roman" w:cs="Times New Roman"/>
          <w:sz w:val="18"/>
          <w:szCs w:val="18"/>
          <w:lang w:val="en-US"/>
        </w:rPr>
      </w:pPr>
      <w:r w:rsidRPr="007F2745">
        <w:rPr>
          <w:rStyle w:val="FootnoteReference"/>
          <w:rFonts w:ascii="Times New Roman" w:hAnsi="Times New Roman" w:cs="Times New Roman"/>
          <w:sz w:val="18"/>
          <w:szCs w:val="18"/>
        </w:rPr>
        <w:footnoteRef/>
      </w:r>
      <w:r w:rsidRPr="007F2745">
        <w:rPr>
          <w:rFonts w:ascii="Times New Roman" w:hAnsi="Times New Roman" w:cs="Times New Roman"/>
          <w:sz w:val="18"/>
          <w:szCs w:val="18"/>
        </w:rPr>
        <w:t xml:space="preserve"> R (QSA) v. Sec’y of St. for the Home Dept. [2018] EWHC (Admin) 407, [2018] WLR(D) 135</w:t>
      </w:r>
    </w:p>
  </w:footnote>
  <w:footnote w:id="2">
    <w:p w14:paraId="3FC0FE2C" w14:textId="77777777" w:rsidR="006D6BF6" w:rsidRPr="006D6BF6" w:rsidRDefault="006D6BF6" w:rsidP="007641B3">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58.</w:t>
      </w:r>
    </w:p>
  </w:footnote>
  <w:footnote w:id="3">
    <w:p w14:paraId="69E3B25A" w14:textId="77777777" w:rsidR="006D6BF6" w:rsidRPr="006D6BF6" w:rsidRDefault="006D6BF6" w:rsidP="007641B3">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59.</w:t>
      </w:r>
    </w:p>
  </w:footnote>
  <w:footnote w:id="4">
    <w:p w14:paraId="5F3E14C3" w14:textId="77777777" w:rsidR="006D6BF6" w:rsidRPr="006D6BF6" w:rsidRDefault="006D6BF6" w:rsidP="007641B3">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59. The High Court further noted the overbreadth of the multiple convictions rule, insofar as it “require[es] disclosure in circumstances where no reasonable employer could possibly regard the previous convictions collectively, or the previous conviction(s) for soliciting in particular, as having any relevance at all to the assessment of present risk in the employment concerned,” and undermines subsections 1(2A) and 1(2B) of the Sexual Offenses Act 1959, which aims to “support[] those who wish to leave prostitution.”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60.</w:t>
      </w:r>
    </w:p>
  </w:footnote>
  <w:footnote w:id="5">
    <w:p w14:paraId="6BAF7685" w14:textId="77777777" w:rsidR="006D6BF6" w:rsidRPr="006D6BF6" w:rsidRDefault="006D6BF6" w:rsidP="007641B3">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61.</w:t>
      </w:r>
    </w:p>
  </w:footnote>
  <w:footnote w:id="6">
    <w:p w14:paraId="5CF0B6FE" w14:textId="77777777" w:rsidR="006D6BF6" w:rsidRPr="00925F66" w:rsidRDefault="006D6BF6" w:rsidP="007641B3">
      <w:pPr>
        <w:pStyle w:val="FootnoteText"/>
        <w:rPr>
          <w:color w:val="000000" w:themeColor="text1"/>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i/>
          <w:color w:val="000000" w:themeColor="text1"/>
          <w:sz w:val="18"/>
          <w:szCs w:val="18"/>
        </w:rPr>
        <w:t>Broadfoot Case</w:t>
      </w:r>
      <w:r w:rsidRPr="006D6BF6">
        <w:rPr>
          <w:rFonts w:ascii="Times" w:hAnsi="Times"/>
          <w:color w:val="000000" w:themeColor="text1"/>
          <w:sz w:val="18"/>
          <w:szCs w:val="18"/>
        </w:rPr>
        <w:t xml:space="preserve"> at ¶ 62.</w:t>
      </w:r>
    </w:p>
  </w:footnote>
  <w:footnote w:id="7">
    <w:p w14:paraId="4D88B39F" w14:textId="77777777" w:rsidR="006D6BF6" w:rsidRPr="002E0CA7" w:rsidRDefault="006D6BF6" w:rsidP="007641B3">
      <w:pPr>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Mirjan R. Damaska, </w:t>
      </w:r>
      <w:r w:rsidRPr="002E0CA7">
        <w:rPr>
          <w:rFonts w:ascii="Times" w:hAnsi="Times"/>
          <w:i/>
          <w:color w:val="000000" w:themeColor="text1"/>
          <w:sz w:val="18"/>
          <w:szCs w:val="18"/>
        </w:rPr>
        <w:t>Adverse Legal Consequences of Conviction and Their Removal:  A Comparative Study</w:t>
      </w:r>
      <w:r w:rsidRPr="002E0CA7">
        <w:rPr>
          <w:rFonts w:ascii="Times" w:hAnsi="Times"/>
          <w:color w:val="000000" w:themeColor="text1"/>
          <w:sz w:val="18"/>
          <w:szCs w:val="18"/>
        </w:rPr>
        <w:t xml:space="preserve">, 59 </w:t>
      </w:r>
      <w:r w:rsidRPr="002E0CA7">
        <w:rPr>
          <w:rFonts w:ascii="Times" w:hAnsi="Times"/>
          <w:smallCaps/>
          <w:color w:val="000000" w:themeColor="text1"/>
          <w:sz w:val="18"/>
          <w:szCs w:val="18"/>
        </w:rPr>
        <w:t>J. Crim. L. Criminology &amp; Police Sci.</w:t>
      </w:r>
      <w:r w:rsidRPr="002E0CA7">
        <w:rPr>
          <w:rFonts w:ascii="Times" w:hAnsi="Times"/>
          <w:color w:val="000000" w:themeColor="text1"/>
          <w:sz w:val="18"/>
          <w:szCs w:val="18"/>
        </w:rPr>
        <w:t xml:space="preserve"> 347 (1968), available at: </w:t>
      </w:r>
      <w:hyperlink r:id="rId1" w:history="1">
        <w:r w:rsidRPr="002E0CA7">
          <w:rPr>
            <w:rStyle w:val="Hyperlink"/>
            <w:rFonts w:ascii="Times" w:hAnsi="Times"/>
            <w:color w:val="000000" w:themeColor="text1"/>
            <w:sz w:val="18"/>
            <w:szCs w:val="18"/>
          </w:rPr>
          <w:t>https://scholarlycommons.law.northwestern.edu</w:t>
        </w:r>
        <w:r w:rsidRPr="002E0CA7">
          <w:rPr>
            <w:rStyle w:val="Hyperlink"/>
            <w:rFonts w:ascii="Times" w:hAnsi="Times"/>
            <w:color w:val="000000" w:themeColor="text1"/>
            <w:sz w:val="18"/>
            <w:szCs w:val="18"/>
          </w:rPr>
          <w:br/>
          <w:t>/cgi/viewcontent.cgi?article=5530&amp;context=jclc</w:t>
        </w:r>
      </w:hyperlink>
      <w:r w:rsidRPr="002E0CA7">
        <w:rPr>
          <w:rStyle w:val="Hyperlink"/>
          <w:rFonts w:ascii="Times" w:hAnsi="Times"/>
          <w:color w:val="000000" w:themeColor="text1"/>
          <w:sz w:val="18"/>
          <w:szCs w:val="18"/>
        </w:rPr>
        <w:t xml:space="preserve">. </w:t>
      </w:r>
    </w:p>
  </w:footnote>
  <w:footnote w:id="8">
    <w:p w14:paraId="379786E5" w14:textId="77777777" w:rsidR="006D6BF6" w:rsidRPr="002E0CA7" w:rsidRDefault="006D6BF6" w:rsidP="002E0CA7">
      <w:pPr>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Loi no. 66-20 of Feb. 1, 1966, Journal Officiel de la République du Sénégal [Official Gazette of Senegal], Feb. 5, 1966. </w:t>
      </w:r>
    </w:p>
  </w:footnote>
  <w:footnote w:id="9">
    <w:p w14:paraId="4B1ECDCA" w14:textId="77777777" w:rsidR="006D6BF6" w:rsidRPr="002E0CA7" w:rsidRDefault="006D6BF6" w:rsidP="002E0CA7">
      <w:pPr>
        <w:pStyle w:val="FootnoteText"/>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r w:rsidRPr="002E0CA7">
        <w:rPr>
          <w:rFonts w:ascii="Times" w:hAnsi="Times"/>
          <w:i/>
          <w:color w:val="000000" w:themeColor="text1"/>
          <w:sz w:val="18"/>
          <w:szCs w:val="18"/>
        </w:rPr>
        <w:t xml:space="preserve">Sex Worker Act 1994 </w:t>
      </w:r>
      <w:r w:rsidRPr="002E0CA7">
        <w:rPr>
          <w:rFonts w:ascii="Times" w:hAnsi="Times"/>
          <w:color w:val="000000" w:themeColor="text1"/>
          <w:sz w:val="18"/>
          <w:szCs w:val="18"/>
        </w:rPr>
        <w:t>(</w:t>
      </w:r>
      <w:proofErr w:type="spellStart"/>
      <w:r w:rsidRPr="002E0CA7">
        <w:rPr>
          <w:rFonts w:ascii="Times" w:hAnsi="Times"/>
          <w:color w:val="000000" w:themeColor="text1"/>
          <w:sz w:val="18"/>
          <w:szCs w:val="18"/>
        </w:rPr>
        <w:t>Vict</w:t>
      </w:r>
      <w:bookmarkStart w:id="0" w:name="_GoBack"/>
      <w:bookmarkEnd w:id="0"/>
      <w:proofErr w:type="spellEnd"/>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pt</w:t>
      </w:r>
      <w:proofErr w:type="spellEnd"/>
      <w:r w:rsidRPr="002E0CA7">
        <w:rPr>
          <w:rFonts w:ascii="Times" w:hAnsi="Times"/>
          <w:color w:val="000000" w:themeColor="text1"/>
          <w:sz w:val="18"/>
          <w:szCs w:val="18"/>
        </w:rPr>
        <w:t xml:space="preserve"> I div 1 (Austl.),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"http://www.legislation.vic.gov.au/Domino/Web_Notes/LDMS/LTObject_Store/LTObjSt5.nsf/DDE300B846EED9C7CA257616000A3571/998B3217B6D8FFEFCA257810001351B3/$FILE/94-102aa070%20authorised.pdf"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http://www.legislation.vic.gov.au/Domino/Web_</w:t>
      </w:r>
      <w:r w:rsidRPr="002E0CA7">
        <w:rPr>
          <w:rStyle w:val="Hyperlink"/>
          <w:rFonts w:ascii="Times" w:hAnsi="Times"/>
          <w:color w:val="000000" w:themeColor="text1"/>
          <w:sz w:val="18"/>
          <w:szCs w:val="18"/>
        </w:rPr>
        <w:br/>
        <w:t>Notes/LDMS/LTObject_Store/LTObjSt5.nsf/DDE300B846EED9C7CA257616000A3571/998B3217B6D8FFEFCA257810001351B3/$FILE/94-102aa070%20authorised.pdf</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0">
    <w:p w14:paraId="77C9ACF9" w14:textId="77777777" w:rsidR="006D6BF6" w:rsidRPr="002E0CA7" w:rsidRDefault="006D6BF6" w:rsidP="002E0CA7">
      <w:pPr>
        <w:pStyle w:val="FootnoteText"/>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r w:rsidRPr="002E0CA7">
        <w:rPr>
          <w:rFonts w:ascii="Times" w:hAnsi="Times"/>
          <w:i/>
          <w:color w:val="000000" w:themeColor="text1"/>
          <w:sz w:val="18"/>
          <w:szCs w:val="18"/>
        </w:rPr>
        <w:t>Prostitution Act 1999</w:t>
      </w:r>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Queensl</w:t>
      </w:r>
      <w:proofErr w:type="spellEnd"/>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pt</w:t>
      </w:r>
      <w:proofErr w:type="spellEnd"/>
      <w:r w:rsidRPr="002E0CA7">
        <w:rPr>
          <w:rFonts w:ascii="Times" w:hAnsi="Times"/>
          <w:color w:val="000000" w:themeColor="text1"/>
          <w:sz w:val="18"/>
          <w:szCs w:val="18"/>
        </w:rPr>
        <w:t xml:space="preserve"> 1 dv 3 (Austl.),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"https://www.legislation.qld.gov.au/view/pdf/2017-06-30/act-1999-073"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https://www.legislation.qld.gov.au/view/pdf/</w:t>
      </w:r>
      <w:r w:rsidRPr="002E0CA7">
        <w:rPr>
          <w:rStyle w:val="Hyperlink"/>
          <w:rFonts w:ascii="Times" w:hAnsi="Times"/>
          <w:color w:val="000000" w:themeColor="text1"/>
          <w:sz w:val="18"/>
          <w:szCs w:val="18"/>
        </w:rPr>
        <w:br/>
        <w:t>2017-06-30/act-1999-073</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1">
    <w:p w14:paraId="0EFDD08F" w14:textId="77777777" w:rsidR="006D6BF6" w:rsidRPr="002E0CA7" w:rsidRDefault="006D6BF6" w:rsidP="002E0CA7">
      <w:pPr>
        <w:pStyle w:val="FootnoteText"/>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Artikel</w:t>
      </w:r>
      <w:proofErr w:type="spellEnd"/>
      <w:r w:rsidRPr="002E0CA7">
        <w:rPr>
          <w:rFonts w:ascii="Times" w:hAnsi="Times"/>
          <w:color w:val="000000" w:themeColor="text1"/>
          <w:sz w:val="18"/>
          <w:szCs w:val="18"/>
        </w:rPr>
        <w:t xml:space="preserve"> 1:18 lid 274f </w:t>
      </w:r>
      <w:proofErr w:type="spellStart"/>
      <w:r w:rsidRPr="002E0CA7">
        <w:rPr>
          <w:rFonts w:ascii="Times" w:hAnsi="Times"/>
          <w:smallCaps/>
          <w:color w:val="000000" w:themeColor="text1"/>
          <w:sz w:val="18"/>
          <w:szCs w:val="18"/>
        </w:rPr>
        <w:t>Sr</w:t>
      </w:r>
      <w:proofErr w:type="spellEnd"/>
      <w:r w:rsidRPr="002E0CA7">
        <w:rPr>
          <w:rFonts w:ascii="Times" w:hAnsi="Times"/>
          <w:smallCaps/>
          <w:color w:val="000000" w:themeColor="text1"/>
          <w:sz w:val="18"/>
          <w:szCs w:val="18"/>
        </w:rPr>
        <w:t xml:space="preserve"> (oud</w:t>
      </w:r>
      <w:r w:rsidRPr="002E0CA7">
        <w:rPr>
          <w:rFonts w:ascii="Times" w:hAnsi="Times"/>
          <w:color w:val="000000" w:themeColor="text1"/>
          <w:sz w:val="18"/>
          <w:szCs w:val="18"/>
        </w:rPr>
        <w:t>),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"http://www.ejtn.eu/PageFiles/6533/2014%20seminars/Omsenie/WetboekvanStrafrecht_ENG_PV.pdf"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http://www.ejtn.eu/PageFiles/6533/2014%20seminars/Omsenie</w:t>
      </w:r>
      <w:r w:rsidRPr="002E0CA7">
        <w:rPr>
          <w:rStyle w:val="Hyperlink"/>
          <w:rFonts w:ascii="Times" w:hAnsi="Times"/>
          <w:color w:val="000000" w:themeColor="text1"/>
          <w:sz w:val="18"/>
          <w:szCs w:val="18"/>
        </w:rPr>
        <w:br/>
        <w:t>/WetboekvanStrafrecht_ENG_PV.pdf</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2">
    <w:p w14:paraId="3A36BA6B" w14:textId="77777777" w:rsidR="006D6BF6" w:rsidRPr="002E0CA7" w:rsidRDefault="006D6BF6" w:rsidP="002E0CA7">
      <w:pPr>
        <w:pStyle w:val="FootnoteText"/>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proofErr w:type="spellStart"/>
      <w:r w:rsidRPr="002E0CA7">
        <w:rPr>
          <w:rFonts w:ascii="Times" w:hAnsi="Times"/>
          <w:smallCaps/>
          <w:color w:val="000000" w:themeColor="text1"/>
          <w:sz w:val="18"/>
          <w:szCs w:val="18"/>
        </w:rPr>
        <w:t>Strafgesetzbuch</w:t>
      </w:r>
      <w:proofErr w:type="spellEnd"/>
      <w:r w:rsidRPr="002E0CA7">
        <w:rPr>
          <w:rFonts w:ascii="Times" w:hAnsi="Times"/>
          <w:smallCaps/>
          <w:color w:val="000000" w:themeColor="text1"/>
          <w:sz w:val="18"/>
          <w:szCs w:val="18"/>
        </w:rPr>
        <w:t xml:space="preserve"> [stop] [Penal Code],</w:t>
      </w:r>
      <w:r w:rsidRPr="002E0CA7">
        <w:rPr>
          <w:rFonts w:ascii="Times" w:hAnsi="Times"/>
          <w:color w:val="000000" w:themeColor="text1"/>
          <w:sz w:val="18"/>
          <w:szCs w:val="18"/>
        </w:rPr>
        <w:t xml:space="preserve"> §§ 180a, 181a, 184e (Ger.),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"https://www.gesetze-im-internet.de/englisch_stgb/englisch_stgb.html"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https://www.gesetze-im-internet.de/englisch_stgb/englisch_stgb.html</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3">
    <w:p w14:paraId="609A64C0" w14:textId="77777777" w:rsidR="006D6BF6" w:rsidRPr="002E0CA7" w:rsidRDefault="006D6BF6" w:rsidP="002E0CA7">
      <w:pPr>
        <w:pStyle w:val="FootnoteText"/>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r w:rsidRPr="002E0CA7">
        <w:rPr>
          <w:rStyle w:val="Hyperlink"/>
          <w:rFonts w:ascii="Times" w:hAnsi="Times"/>
          <w:color w:val="000000" w:themeColor="text1"/>
          <w:sz w:val="18"/>
          <w:szCs w:val="18"/>
        </w:rPr>
        <w:t xml:space="preserve">According to Nevada state law, “it is unlawful for any person to engage in prostitution or solicitation therefor, except in a licensed house of prostitution.”  </w:t>
      </w:r>
      <w:r w:rsidRPr="002E0CA7">
        <w:rPr>
          <w:rFonts w:ascii="Times" w:hAnsi="Times"/>
          <w:smallCaps/>
          <w:color w:val="000000" w:themeColor="text1"/>
          <w:sz w:val="18"/>
          <w:szCs w:val="18"/>
        </w:rPr>
        <w:t>Nev. Rev. Stat. Ann</w:t>
      </w:r>
      <w:r w:rsidRPr="002E0CA7">
        <w:rPr>
          <w:rFonts w:ascii="Times" w:hAnsi="Times"/>
          <w:color w:val="000000" w:themeColor="text1"/>
          <w:sz w:val="18"/>
          <w:szCs w:val="18"/>
        </w:rPr>
        <w:t xml:space="preserve">. § 201.345(1) (LexisNexis 2017).  Note that </w:t>
      </w:r>
      <w:r w:rsidRPr="002E0CA7">
        <w:rPr>
          <w:rStyle w:val="Hyperlink"/>
          <w:rFonts w:ascii="Times" w:hAnsi="Times"/>
          <w:color w:val="000000" w:themeColor="text1"/>
          <w:sz w:val="18"/>
          <w:szCs w:val="18"/>
        </w:rPr>
        <w:t xml:space="preserve">brothels are not permitted in a county whose population is greater than 700,000 is legal in Nevada counties.  Nev. Rev. Stat. Ann. § 244.245(1)(b) (LexisNexis 2017); </w:t>
      </w:r>
      <w:r w:rsidRPr="002E0CA7">
        <w:rPr>
          <w:rStyle w:val="Hyperlink"/>
          <w:rFonts w:ascii="Times" w:hAnsi="Times"/>
          <w:smallCaps/>
          <w:color w:val="000000" w:themeColor="text1"/>
          <w:sz w:val="18"/>
          <w:szCs w:val="18"/>
        </w:rPr>
        <w:t xml:space="preserve">Churchill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5.20; </w:t>
      </w:r>
      <w:r w:rsidRPr="002E0CA7">
        <w:rPr>
          <w:rStyle w:val="Hyperlink"/>
          <w:rFonts w:ascii="Times" w:hAnsi="Times"/>
          <w:smallCaps/>
          <w:color w:val="000000" w:themeColor="text1"/>
          <w:sz w:val="18"/>
          <w:szCs w:val="18"/>
        </w:rPr>
        <w:t xml:space="preserve">Elko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7,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1.6; Esmeralda </w:t>
      </w:r>
      <w:proofErr w:type="spellStart"/>
      <w:r w:rsidRPr="002E0CA7">
        <w:rPr>
          <w:rStyle w:val="Hyperlink"/>
          <w:rFonts w:ascii="Times" w:hAnsi="Times"/>
          <w:color w:val="000000" w:themeColor="text1"/>
          <w:sz w:val="18"/>
          <w:szCs w:val="18"/>
        </w:rPr>
        <w:t>Cty</w:t>
      </w:r>
      <w:proofErr w:type="spellEnd"/>
      <w:proofErr w:type="gramStart"/>
      <w:r w:rsidRPr="002E0CA7">
        <w:rPr>
          <w:rStyle w:val="Hyperlink"/>
          <w:rFonts w:ascii="Times" w:hAnsi="Times"/>
          <w:color w:val="000000" w:themeColor="text1"/>
          <w:sz w:val="18"/>
          <w:szCs w:val="18"/>
        </w:rPr>
        <w:t>.,</w:t>
      </w:r>
      <w:proofErr w:type="gramEnd"/>
      <w:r w:rsidRPr="002E0CA7">
        <w:rPr>
          <w:rStyle w:val="Hyperlink"/>
          <w:rFonts w:ascii="Times" w:hAnsi="Times"/>
          <w:color w:val="000000" w:themeColor="text1"/>
          <w:sz w:val="18"/>
          <w:szCs w:val="18"/>
        </w:rPr>
        <w:t xml:space="preserve"> Nev., Code Ordinance 154; </w:t>
      </w:r>
      <w:r w:rsidRPr="002E0CA7">
        <w:rPr>
          <w:rStyle w:val="Hyperlink"/>
          <w:rFonts w:ascii="Times" w:hAnsi="Times"/>
          <w:smallCaps/>
          <w:color w:val="000000" w:themeColor="text1"/>
          <w:sz w:val="18"/>
          <w:szCs w:val="18"/>
        </w:rPr>
        <w:t xml:space="preserve">Humboldt </w:t>
      </w:r>
      <w:proofErr w:type="spellStart"/>
      <w:r w:rsidRPr="002E0CA7">
        <w:rPr>
          <w:rStyle w:val="Hyperlink"/>
          <w:rFonts w:ascii="Times" w:hAnsi="Times"/>
          <w:smallCaps/>
          <w:color w:val="000000" w:themeColor="text1"/>
          <w:sz w:val="18"/>
          <w:szCs w:val="18"/>
        </w:rPr>
        <w:t>Cty</w:t>
      </w:r>
      <w:proofErr w:type="spellEnd"/>
      <w:r w:rsidRPr="002E0CA7">
        <w:rPr>
          <w:rStyle w:val="Hyperlink"/>
          <w:rFonts w:ascii="Times" w:hAnsi="Times"/>
          <w:smallCaps/>
          <w:color w:val="000000" w:themeColor="text1"/>
          <w:sz w:val="18"/>
          <w:szCs w:val="18"/>
        </w:rPr>
        <w:t>.,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5.08; </w:t>
      </w:r>
      <w:r w:rsidRPr="002E0CA7">
        <w:rPr>
          <w:rStyle w:val="Hyperlink"/>
          <w:rFonts w:ascii="Times" w:hAnsi="Times"/>
          <w:smallCaps/>
          <w:color w:val="000000" w:themeColor="text1"/>
          <w:sz w:val="18"/>
          <w:szCs w:val="18"/>
        </w:rPr>
        <w:t xml:space="preserve">Lander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5.16; </w:t>
      </w:r>
      <w:r w:rsidRPr="002E0CA7">
        <w:rPr>
          <w:rStyle w:val="Hyperlink"/>
          <w:rFonts w:ascii="Times" w:hAnsi="Times"/>
          <w:smallCaps/>
          <w:color w:val="000000" w:themeColor="text1"/>
          <w:sz w:val="18"/>
          <w:szCs w:val="18"/>
        </w:rPr>
        <w:t xml:space="preserve">Lyon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3; </w:t>
      </w:r>
      <w:r w:rsidRPr="002E0CA7">
        <w:rPr>
          <w:rStyle w:val="Hyperlink"/>
          <w:rFonts w:ascii="Times" w:hAnsi="Times"/>
          <w:smallCaps/>
          <w:color w:val="000000" w:themeColor="text1"/>
          <w:sz w:val="18"/>
          <w:szCs w:val="18"/>
        </w:rPr>
        <w:t xml:space="preserve">Mineral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5; </w:t>
      </w:r>
      <w:r w:rsidRPr="002E0CA7">
        <w:rPr>
          <w:rStyle w:val="Hyperlink"/>
          <w:rFonts w:ascii="Times" w:hAnsi="Times"/>
          <w:smallCaps/>
          <w:color w:val="000000" w:themeColor="text1"/>
          <w:sz w:val="18"/>
          <w:szCs w:val="18"/>
        </w:rPr>
        <w:t xml:space="preserve">Nye </w:t>
      </w:r>
      <w:proofErr w:type="spellStart"/>
      <w:r w:rsidRPr="002E0CA7">
        <w:rPr>
          <w:rStyle w:val="Hyperlink"/>
          <w:rFonts w:ascii="Times" w:hAnsi="Times"/>
          <w:smallCaps/>
          <w:color w:val="000000" w:themeColor="text1"/>
          <w:sz w:val="18"/>
          <w:szCs w:val="18"/>
        </w:rPr>
        <w:t>Cty</w:t>
      </w:r>
      <w:proofErr w:type="spellEnd"/>
      <w:r w:rsidRPr="002E0CA7">
        <w:rPr>
          <w:rStyle w:val="Hyperlink"/>
          <w:rFonts w:ascii="Times" w:hAnsi="Times"/>
          <w:smallCaps/>
          <w:color w:val="000000" w:themeColor="text1"/>
          <w:sz w:val="18"/>
          <w:szCs w:val="18"/>
        </w:rPr>
        <w:t>., Nev., Code</w:t>
      </w:r>
      <w:r w:rsidRPr="002E0CA7">
        <w:rPr>
          <w:rStyle w:val="Hyperlink"/>
          <w:rFonts w:ascii="Times" w:hAnsi="Times"/>
          <w:color w:val="000000" w:themeColor="text1"/>
          <w:sz w:val="18"/>
          <w:szCs w:val="18"/>
        </w:rPr>
        <w:t xml:space="preserve"> tit. 9,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9.20; </w:t>
      </w:r>
      <w:r w:rsidRPr="002E0CA7">
        <w:rPr>
          <w:rStyle w:val="Hyperlink"/>
          <w:rFonts w:ascii="Times" w:hAnsi="Times"/>
          <w:smallCaps/>
          <w:color w:val="000000" w:themeColor="text1"/>
          <w:sz w:val="18"/>
          <w:szCs w:val="18"/>
        </w:rPr>
        <w:t xml:space="preserve">Storey </w:t>
      </w:r>
      <w:proofErr w:type="spellStart"/>
      <w:r w:rsidRPr="002E0CA7">
        <w:rPr>
          <w:rStyle w:val="Hyperlink"/>
          <w:rFonts w:ascii="Times" w:hAnsi="Times"/>
          <w:smallCaps/>
          <w:color w:val="000000" w:themeColor="text1"/>
          <w:sz w:val="18"/>
          <w:szCs w:val="18"/>
        </w:rPr>
        <w:t>Cty</w:t>
      </w:r>
      <w:proofErr w:type="spellEnd"/>
      <w:proofErr w:type="gramStart"/>
      <w:r w:rsidRPr="002E0CA7">
        <w:rPr>
          <w:rStyle w:val="Hyperlink"/>
          <w:rFonts w:ascii="Times" w:hAnsi="Times"/>
          <w:smallCaps/>
          <w:color w:val="000000" w:themeColor="text1"/>
          <w:sz w:val="18"/>
          <w:szCs w:val="18"/>
        </w:rPr>
        <w:t>.,</w:t>
      </w:r>
      <w:proofErr w:type="gramEnd"/>
      <w:r w:rsidRPr="002E0CA7">
        <w:rPr>
          <w:rStyle w:val="Hyperlink"/>
          <w:rFonts w:ascii="Times" w:hAnsi="Times"/>
          <w:smallCaps/>
          <w:color w:val="000000" w:themeColor="text1"/>
          <w:sz w:val="18"/>
          <w:szCs w:val="18"/>
        </w:rPr>
        <w:t xml:space="preserve"> Nev., Code</w:t>
      </w:r>
      <w:r w:rsidRPr="002E0CA7">
        <w:rPr>
          <w:rStyle w:val="Hyperlink"/>
          <w:rFonts w:ascii="Times" w:hAnsi="Times"/>
          <w:color w:val="000000" w:themeColor="text1"/>
          <w:sz w:val="18"/>
          <w:szCs w:val="18"/>
        </w:rPr>
        <w:t xml:space="preserve"> tit. 5,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5.16</w:t>
      </w:r>
      <w:proofErr w:type="gramStart"/>
      <w:r w:rsidRPr="002E0CA7">
        <w:rPr>
          <w:rStyle w:val="Hyperlink"/>
          <w:rFonts w:ascii="Times" w:hAnsi="Times"/>
          <w:color w:val="000000" w:themeColor="text1"/>
          <w:sz w:val="18"/>
          <w:szCs w:val="18"/>
        </w:rPr>
        <w:t xml:space="preserve">;  </w:t>
      </w:r>
      <w:r w:rsidRPr="002E0CA7">
        <w:rPr>
          <w:rStyle w:val="Hyperlink"/>
          <w:rFonts w:ascii="Times" w:hAnsi="Times"/>
          <w:smallCaps/>
          <w:color w:val="000000" w:themeColor="text1"/>
          <w:sz w:val="18"/>
          <w:szCs w:val="18"/>
        </w:rPr>
        <w:t>White</w:t>
      </w:r>
      <w:proofErr w:type="gramEnd"/>
      <w:r w:rsidRPr="002E0CA7">
        <w:rPr>
          <w:rStyle w:val="Hyperlink"/>
          <w:rFonts w:ascii="Times" w:hAnsi="Times"/>
          <w:smallCaps/>
          <w:color w:val="000000" w:themeColor="text1"/>
          <w:sz w:val="18"/>
          <w:szCs w:val="18"/>
        </w:rPr>
        <w:t xml:space="preserve"> Pine </w:t>
      </w:r>
      <w:proofErr w:type="spellStart"/>
      <w:r w:rsidRPr="002E0CA7">
        <w:rPr>
          <w:rStyle w:val="Hyperlink"/>
          <w:rFonts w:ascii="Times" w:hAnsi="Times"/>
          <w:smallCaps/>
          <w:color w:val="000000" w:themeColor="text1"/>
          <w:sz w:val="18"/>
          <w:szCs w:val="18"/>
        </w:rPr>
        <w:t>Cty</w:t>
      </w:r>
      <w:proofErr w:type="spellEnd"/>
      <w:r w:rsidRPr="002E0CA7">
        <w:rPr>
          <w:rStyle w:val="Hyperlink"/>
          <w:rFonts w:ascii="Times" w:hAnsi="Times"/>
          <w:smallCaps/>
          <w:color w:val="000000" w:themeColor="text1"/>
          <w:sz w:val="18"/>
          <w:szCs w:val="18"/>
        </w:rPr>
        <w:t>., Nev</w:t>
      </w:r>
      <w:r w:rsidRPr="002E0CA7">
        <w:rPr>
          <w:rStyle w:val="Hyperlink"/>
          <w:rFonts w:ascii="Times" w:hAnsi="Times"/>
          <w:color w:val="000000" w:themeColor="text1"/>
          <w:sz w:val="18"/>
          <w:szCs w:val="18"/>
        </w:rPr>
        <w:t xml:space="preserve">., </w:t>
      </w:r>
      <w:r w:rsidRPr="002E0CA7">
        <w:rPr>
          <w:rStyle w:val="Hyperlink"/>
          <w:rFonts w:ascii="Times" w:hAnsi="Times"/>
          <w:smallCaps/>
          <w:color w:val="000000" w:themeColor="text1"/>
          <w:sz w:val="18"/>
          <w:szCs w:val="18"/>
        </w:rPr>
        <w:t>Code</w:t>
      </w:r>
      <w:r w:rsidRPr="002E0CA7">
        <w:rPr>
          <w:rStyle w:val="Hyperlink"/>
          <w:rFonts w:ascii="Times" w:hAnsi="Times"/>
          <w:color w:val="000000" w:themeColor="text1"/>
          <w:sz w:val="18"/>
          <w:szCs w:val="18"/>
        </w:rPr>
        <w:t xml:space="preserve"> tit. 10, </w:t>
      </w:r>
      <w:proofErr w:type="spellStart"/>
      <w:r w:rsidRPr="002E0CA7">
        <w:rPr>
          <w:rStyle w:val="Hyperlink"/>
          <w:rFonts w:ascii="Times" w:hAnsi="Times"/>
          <w:color w:val="000000" w:themeColor="text1"/>
          <w:sz w:val="18"/>
          <w:szCs w:val="18"/>
        </w:rPr>
        <w:t>ch.</w:t>
      </w:r>
      <w:proofErr w:type="spellEnd"/>
      <w:r w:rsidRPr="002E0CA7">
        <w:rPr>
          <w:rStyle w:val="Hyperlink"/>
          <w:rFonts w:ascii="Times" w:hAnsi="Times"/>
          <w:color w:val="000000" w:themeColor="text1"/>
          <w:sz w:val="18"/>
          <w:szCs w:val="18"/>
        </w:rPr>
        <w:t xml:space="preserve"> 10.36.  </w:t>
      </w:r>
      <w:r w:rsidRPr="002E0CA7">
        <w:rPr>
          <w:rFonts w:ascii="Times" w:hAnsi="Times"/>
          <w:color w:val="000000" w:themeColor="text1"/>
          <w:sz w:val="18"/>
          <w:szCs w:val="18"/>
        </w:rPr>
        <w:t xml:space="preserve">  </w:t>
      </w:r>
    </w:p>
  </w:footnote>
  <w:footnote w:id="14">
    <w:p w14:paraId="1E17F756" w14:textId="77777777" w:rsidR="006D6BF6" w:rsidRPr="00925F66" w:rsidRDefault="006D6BF6" w:rsidP="002E0CA7">
      <w:pPr>
        <w:pStyle w:val="FootnoteText"/>
        <w:contextualSpacing/>
        <w:rPr>
          <w:color w:val="000000" w:themeColor="text1"/>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r w:rsidRPr="002E0CA7">
        <w:rPr>
          <w:rFonts w:ascii="Times" w:hAnsi="Times"/>
          <w:i/>
          <w:color w:val="000000" w:themeColor="text1"/>
          <w:sz w:val="18"/>
          <w:szCs w:val="18"/>
        </w:rPr>
        <w:t xml:space="preserve">Summary Offences Act 1988, Restricted Premises Act 1943 </w:t>
      </w:r>
      <w:r w:rsidRPr="002E0CA7">
        <w:rPr>
          <w:rFonts w:ascii="Times" w:hAnsi="Times"/>
          <w:color w:val="000000" w:themeColor="text1"/>
          <w:sz w:val="18"/>
          <w:szCs w:val="18"/>
        </w:rPr>
        <w:t xml:space="preserve">(N.S.W.) </w:t>
      </w:r>
      <w:proofErr w:type="spellStart"/>
      <w:r w:rsidRPr="002E0CA7">
        <w:rPr>
          <w:rFonts w:ascii="Times" w:hAnsi="Times"/>
          <w:color w:val="000000" w:themeColor="text1"/>
          <w:sz w:val="18"/>
          <w:szCs w:val="18"/>
        </w:rPr>
        <w:t>pt</w:t>
      </w:r>
      <w:proofErr w:type="spellEnd"/>
      <w:r w:rsidRPr="002E0CA7">
        <w:rPr>
          <w:rFonts w:ascii="Times" w:hAnsi="Times"/>
          <w:color w:val="000000" w:themeColor="text1"/>
          <w:sz w:val="18"/>
          <w:szCs w:val="18"/>
        </w:rPr>
        <w:t xml:space="preserve"> I-IV (Austl.), available at: </w:t>
      </w:r>
      <w:hyperlink r:id="rId2" w:anchor="/view/act/1943/6/full" w:history="1">
        <w:r w:rsidRPr="002E0CA7">
          <w:rPr>
            <w:rStyle w:val="Hyperlink"/>
            <w:rFonts w:ascii="Times" w:hAnsi="Times"/>
            <w:color w:val="000000" w:themeColor="text1"/>
            <w:sz w:val="18"/>
            <w:szCs w:val="18"/>
          </w:rPr>
          <w:t>https://legislation.nsw.gov.au/#/view/act/1943/6/full</w:t>
        </w:r>
      </w:hyperlink>
      <w:r w:rsidRPr="002E0CA7">
        <w:rPr>
          <w:rFonts w:ascii="Times" w:hAnsi="Times"/>
          <w:color w:val="000000" w:themeColor="text1"/>
          <w:sz w:val="18"/>
          <w:szCs w:val="18"/>
        </w:rPr>
        <w:t>.</w:t>
      </w:r>
      <w:r w:rsidRPr="00925F66">
        <w:rPr>
          <w:color w:val="000000" w:themeColor="text1"/>
        </w:rPr>
        <w:t xml:space="preserve">  </w:t>
      </w:r>
    </w:p>
  </w:footnote>
  <w:footnote w:id="15">
    <w:p w14:paraId="18787310" w14:textId="77777777" w:rsidR="006D6BF6" w:rsidRPr="002E0CA7" w:rsidRDefault="006D6BF6" w:rsidP="002E0CA7">
      <w:pPr>
        <w:pStyle w:val="FootnoteText"/>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Prostitution Reform Act 2003, s 2 (N.Z.)</w:t>
      </w:r>
      <w:proofErr w:type="gramStart"/>
      <w:r w:rsidRPr="002E0CA7">
        <w:rPr>
          <w:rFonts w:ascii="Times" w:hAnsi="Times"/>
          <w:color w:val="000000" w:themeColor="text1"/>
          <w:sz w:val="18"/>
          <w:szCs w:val="18"/>
        </w:rPr>
        <w:t>,  available</w:t>
      </w:r>
      <w:proofErr w:type="gramEnd"/>
      <w:r w:rsidRPr="002E0CA7">
        <w:rPr>
          <w:rFonts w:ascii="Times" w:hAnsi="Times"/>
          <w:color w:val="000000" w:themeColor="text1"/>
          <w:sz w:val="18"/>
          <w:szCs w:val="18"/>
        </w:rPr>
        <w:t xml:space="preserve"> at:  </w:t>
      </w:r>
      <w:hyperlink r:id="rId3" w:history="1">
        <w:r w:rsidRPr="002E0CA7">
          <w:rPr>
            <w:rStyle w:val="Hyperlink"/>
            <w:rFonts w:ascii="Times" w:hAnsi="Times"/>
            <w:color w:val="000000" w:themeColor="text1"/>
            <w:sz w:val="18"/>
            <w:szCs w:val="18"/>
          </w:rPr>
          <w:t>http://www.legislation.govt.nz/act/public/2003/0028</w:t>
        </w:r>
        <w:r w:rsidRPr="002E0CA7">
          <w:rPr>
            <w:rStyle w:val="Hyperlink"/>
            <w:rFonts w:ascii="Times" w:hAnsi="Times"/>
            <w:color w:val="000000" w:themeColor="text1"/>
            <w:sz w:val="18"/>
            <w:szCs w:val="18"/>
          </w:rPr>
          <w:br/>
          <w:t>/latest/DLM197815.html</w:t>
        </w:r>
      </w:hyperlink>
      <w:r w:rsidRPr="002E0CA7">
        <w:rPr>
          <w:rFonts w:ascii="Times" w:hAnsi="Times"/>
          <w:color w:val="000000" w:themeColor="text1"/>
          <w:sz w:val="18"/>
          <w:szCs w:val="18"/>
        </w:rPr>
        <w:t xml:space="preserve">. </w:t>
      </w:r>
    </w:p>
  </w:footnote>
  <w:footnote w:id="16">
    <w:p w14:paraId="5FE2F7F7" w14:textId="77777777" w:rsidR="006D6BF6" w:rsidRPr="002E0CA7" w:rsidRDefault="006D6BF6" w:rsidP="002E0CA7">
      <w:pPr>
        <w:pStyle w:val="FootnoteText"/>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6 </w:t>
      </w:r>
      <w:proofErr w:type="spellStart"/>
      <w:r w:rsidRPr="002E0CA7">
        <w:rPr>
          <w:rFonts w:ascii="Times" w:hAnsi="Times"/>
          <w:color w:val="000000" w:themeColor="text1"/>
          <w:sz w:val="18"/>
          <w:szCs w:val="18"/>
        </w:rPr>
        <w:t>ch.</w:t>
      </w:r>
      <w:proofErr w:type="spellEnd"/>
      <w:r w:rsidRPr="002E0CA7">
        <w:rPr>
          <w:rFonts w:ascii="Times" w:hAnsi="Times"/>
          <w:color w:val="000000" w:themeColor="text1"/>
          <w:sz w:val="18"/>
          <w:szCs w:val="18"/>
        </w:rPr>
        <w:t xml:space="preserve"> 1-15 § </w:t>
      </w:r>
      <w:proofErr w:type="spellStart"/>
      <w:r w:rsidRPr="002E0CA7">
        <w:rPr>
          <w:rFonts w:ascii="Times" w:hAnsi="Times"/>
          <w:smallCaps/>
          <w:color w:val="000000" w:themeColor="text1"/>
          <w:sz w:val="18"/>
          <w:szCs w:val="18"/>
        </w:rPr>
        <w:t>Brottsbalken</w:t>
      </w:r>
      <w:proofErr w:type="spellEnd"/>
      <w:r w:rsidRPr="002E0CA7">
        <w:rPr>
          <w:rFonts w:ascii="Times" w:hAnsi="Times"/>
          <w:smallCaps/>
          <w:color w:val="000000" w:themeColor="text1"/>
          <w:sz w:val="18"/>
          <w:szCs w:val="18"/>
        </w:rPr>
        <w:t xml:space="preserve"> [</w:t>
      </w:r>
      <w:proofErr w:type="spellStart"/>
      <w:r w:rsidRPr="002E0CA7">
        <w:rPr>
          <w:rFonts w:ascii="Times" w:hAnsi="Times"/>
          <w:smallCaps/>
          <w:color w:val="000000" w:themeColor="text1"/>
          <w:sz w:val="18"/>
          <w:szCs w:val="18"/>
        </w:rPr>
        <w:t>Brb</w:t>
      </w:r>
      <w:proofErr w:type="spellEnd"/>
      <w:r w:rsidRPr="002E0CA7">
        <w:rPr>
          <w:rFonts w:ascii="Times" w:hAnsi="Times"/>
          <w:smallCaps/>
          <w:color w:val="000000" w:themeColor="text1"/>
          <w:sz w:val="18"/>
          <w:szCs w:val="18"/>
        </w:rPr>
        <w:t>] [Penal Code]</w:t>
      </w:r>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Svensk</w:t>
      </w:r>
      <w:proofErr w:type="spellEnd"/>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Författnings</w:t>
      </w:r>
      <w:proofErr w:type="spellEnd"/>
      <w:r w:rsidRPr="002E0CA7">
        <w:rPr>
          <w:rFonts w:ascii="Times" w:hAnsi="Times"/>
          <w:color w:val="000000" w:themeColor="text1"/>
          <w:sz w:val="18"/>
          <w:szCs w:val="18"/>
        </w:rPr>
        <w:t>-sampling [SFS] 2018:1005) (Swed.),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"https://www.government.se/4a95e7/contentassets/602a1b5a8d65426496402d99e19325d5/chapter-6-of-the-swedish-penal-code-unoffical-translation-20181005"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https://www.government.se/4a95e7/contentassets/602a1b5a8d65426496402d99e19325d5/chapter-6-of-the-swedish-penal-code-unoffical-translation-20181005</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7">
    <w:p w14:paraId="214F9FB1" w14:textId="77777777" w:rsidR="006D6BF6" w:rsidRPr="002E0CA7" w:rsidRDefault="006D6BF6" w:rsidP="002E0CA7">
      <w:pPr>
        <w:pStyle w:val="FootnoteText"/>
        <w:contextualSpacing/>
        <w:rPr>
          <w:rFonts w:ascii="Times" w:hAnsi="Times"/>
          <w:color w:val="000000" w:themeColor="text1"/>
          <w:sz w:val="18"/>
          <w:szCs w:val="18"/>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Lov</w:t>
      </w:r>
      <w:proofErr w:type="spellEnd"/>
      <w:r w:rsidRPr="002E0CA7">
        <w:rPr>
          <w:rFonts w:ascii="Times" w:hAnsi="Times"/>
          <w:color w:val="000000" w:themeColor="text1"/>
          <w:sz w:val="18"/>
          <w:szCs w:val="18"/>
        </w:rPr>
        <w:t xml:space="preserve"> </w:t>
      </w:r>
      <w:proofErr w:type="spellStart"/>
      <w:proofErr w:type="gramStart"/>
      <w:r w:rsidRPr="002E0CA7">
        <w:rPr>
          <w:rFonts w:ascii="Times" w:hAnsi="Times"/>
          <w:color w:val="000000" w:themeColor="text1"/>
          <w:sz w:val="18"/>
          <w:szCs w:val="18"/>
        </w:rPr>
        <w:t>om</w:t>
      </w:r>
      <w:proofErr w:type="spellEnd"/>
      <w:proofErr w:type="gramEnd"/>
      <w:r w:rsidRPr="002E0CA7">
        <w:rPr>
          <w:rFonts w:ascii="Times" w:hAnsi="Times"/>
          <w:color w:val="000000" w:themeColor="text1"/>
          <w:sz w:val="18"/>
          <w:szCs w:val="18"/>
        </w:rPr>
        <w:t xml:space="preserve"> </w:t>
      </w:r>
      <w:proofErr w:type="spellStart"/>
      <w:r w:rsidRPr="002E0CA7">
        <w:rPr>
          <w:rFonts w:ascii="Times" w:hAnsi="Times"/>
          <w:color w:val="000000" w:themeColor="text1"/>
          <w:sz w:val="18"/>
          <w:szCs w:val="18"/>
        </w:rPr>
        <w:t>endringer</w:t>
      </w:r>
      <w:proofErr w:type="spellEnd"/>
      <w:r w:rsidRPr="002E0CA7">
        <w:rPr>
          <w:rFonts w:ascii="Times" w:hAnsi="Times"/>
          <w:color w:val="000000" w:themeColor="text1"/>
          <w:sz w:val="18"/>
          <w:szCs w:val="18"/>
        </w:rPr>
        <w:t xml:space="preserve"> I </w:t>
      </w:r>
      <w:proofErr w:type="spellStart"/>
      <w:r w:rsidRPr="002E0CA7">
        <w:rPr>
          <w:rFonts w:ascii="Times" w:hAnsi="Times"/>
          <w:color w:val="000000" w:themeColor="text1"/>
          <w:sz w:val="18"/>
          <w:szCs w:val="18"/>
        </w:rPr>
        <w:t>straffeloven</w:t>
      </w:r>
      <w:proofErr w:type="spellEnd"/>
      <w:r w:rsidRPr="002E0CA7">
        <w:rPr>
          <w:rFonts w:ascii="Times" w:hAnsi="Times"/>
          <w:color w:val="000000" w:themeColor="text1"/>
          <w:sz w:val="18"/>
          <w:szCs w:val="18"/>
        </w:rPr>
        <w:t xml:space="preserve"> 20. Mai 2005 [Act on amendments to the Criminal Code, 20 </w:t>
      </w:r>
      <w:proofErr w:type="gramStart"/>
      <w:r w:rsidRPr="002E0CA7">
        <w:rPr>
          <w:rFonts w:ascii="Times" w:hAnsi="Times"/>
          <w:color w:val="000000" w:themeColor="text1"/>
          <w:sz w:val="18"/>
          <w:szCs w:val="18"/>
        </w:rPr>
        <w:t>May  2005</w:t>
      </w:r>
      <w:proofErr w:type="gramEnd"/>
      <w:r w:rsidRPr="002E0CA7">
        <w:rPr>
          <w:rFonts w:ascii="Times" w:hAnsi="Times"/>
          <w:color w:val="000000" w:themeColor="text1"/>
          <w:sz w:val="18"/>
          <w:szCs w:val="18"/>
        </w:rPr>
        <w:t xml:space="preserve"> No. 28 mv.] nr. 28, §§ 291-320 (Nor.),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"https://lovdata.no/dokument/NL/lov/2005-05-20-28/KAPITTEL_2-11" \l "KAPITTEL_2-11"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https://lovdata.no/dokument/NL/lov/2005-05-20-28/KAPITTEL_2-11#KAPITTEL_2-11</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 xml:space="preserve">. </w:t>
      </w:r>
    </w:p>
  </w:footnote>
  <w:footnote w:id="18">
    <w:p w14:paraId="06ADFE6E" w14:textId="77777777" w:rsidR="006D6BF6" w:rsidRPr="00925F66" w:rsidRDefault="006D6BF6" w:rsidP="002E0CA7">
      <w:pPr>
        <w:pStyle w:val="FootnoteText"/>
        <w:rPr>
          <w:color w:val="000000" w:themeColor="text1"/>
        </w:rPr>
      </w:pPr>
      <w:r w:rsidRPr="002E0CA7">
        <w:rPr>
          <w:rStyle w:val="FootnoteReference"/>
          <w:rFonts w:ascii="Times" w:hAnsi="Times"/>
          <w:color w:val="000000" w:themeColor="text1"/>
          <w:sz w:val="18"/>
          <w:szCs w:val="18"/>
        </w:rPr>
        <w:footnoteRef/>
      </w:r>
      <w:r w:rsidRPr="002E0CA7">
        <w:rPr>
          <w:rFonts w:ascii="Times" w:hAnsi="Times"/>
          <w:color w:val="000000" w:themeColor="text1"/>
          <w:sz w:val="18"/>
          <w:szCs w:val="18"/>
        </w:rPr>
        <w:t xml:space="preserve"> Human Trafficking and Exploitation (Criminal Justice and Support for Victims) Act (Northern Ireland) 2015 c. 2, available at</w:t>
      </w:r>
      <w:proofErr w:type="gramStart"/>
      <w:r w:rsidRPr="002E0CA7">
        <w:rPr>
          <w:rFonts w:ascii="Times" w:hAnsi="Times"/>
          <w:color w:val="000000" w:themeColor="text1"/>
          <w:sz w:val="18"/>
          <w:szCs w:val="18"/>
        </w:rPr>
        <w:t xml:space="preserve">:  </w:t>
      </w:r>
      <w:proofErr w:type="gramEnd"/>
      <w:r w:rsidRPr="002E0CA7">
        <w:rPr>
          <w:rFonts w:ascii="Times" w:hAnsi="Times"/>
          <w:sz w:val="18"/>
          <w:szCs w:val="18"/>
        </w:rPr>
        <w:fldChar w:fldCharType="begin"/>
      </w:r>
      <w:r w:rsidRPr="002E0CA7">
        <w:rPr>
          <w:rFonts w:ascii="Times" w:hAnsi="Times"/>
          <w:sz w:val="18"/>
          <w:szCs w:val="18"/>
        </w:rPr>
        <w:instrText xml:space="preserve"> HYPERLINK "http://www.legislation.gov.uk/nia/2015/2/contents/enacted" </w:instrText>
      </w:r>
      <w:r w:rsidRPr="002E0CA7">
        <w:rPr>
          <w:rFonts w:ascii="Times" w:hAnsi="Times"/>
          <w:sz w:val="18"/>
          <w:szCs w:val="18"/>
        </w:rPr>
        <w:fldChar w:fldCharType="separate"/>
      </w:r>
      <w:r w:rsidRPr="002E0CA7">
        <w:rPr>
          <w:rStyle w:val="Hyperlink"/>
          <w:rFonts w:ascii="Times" w:hAnsi="Times"/>
          <w:color w:val="000000" w:themeColor="text1"/>
          <w:sz w:val="18"/>
          <w:szCs w:val="18"/>
        </w:rPr>
        <w:t>http://www.legislation.gov.uk/nia/2015/2/contents/enacted</w:t>
      </w:r>
      <w:r w:rsidRPr="002E0CA7">
        <w:rPr>
          <w:rStyle w:val="Hyperlink"/>
          <w:rFonts w:ascii="Times" w:hAnsi="Times"/>
          <w:color w:val="000000" w:themeColor="text1"/>
          <w:sz w:val="18"/>
          <w:szCs w:val="18"/>
          <w:u w:val="none"/>
        </w:rPr>
        <w:fldChar w:fldCharType="end"/>
      </w:r>
      <w:r w:rsidRPr="002E0CA7">
        <w:rPr>
          <w:rFonts w:ascii="Times" w:hAnsi="Times"/>
          <w:color w:val="000000" w:themeColor="text1"/>
          <w:sz w:val="18"/>
          <w:szCs w:val="18"/>
        </w:rPr>
        <w:t>.</w:t>
      </w:r>
      <w:r w:rsidRPr="00925F66">
        <w:rPr>
          <w:color w:val="000000" w:themeColor="text1"/>
        </w:rPr>
        <w:t xml:space="preserve"> </w:t>
      </w:r>
    </w:p>
  </w:footnote>
  <w:footnote w:id="19">
    <w:p w14:paraId="52925EF6" w14:textId="77777777" w:rsidR="006D6BF6" w:rsidRPr="00933E56" w:rsidRDefault="006D6BF6" w:rsidP="00933E56">
      <w:pPr>
        <w:pStyle w:val="FootnoteText"/>
        <w:contextualSpacing/>
        <w:rPr>
          <w:rFonts w:ascii="Times" w:hAnsi="Times"/>
          <w:color w:val="000000" w:themeColor="text1"/>
          <w:sz w:val="18"/>
          <w:szCs w:val="18"/>
        </w:rPr>
      </w:pPr>
      <w:r w:rsidRPr="00933E56">
        <w:rPr>
          <w:rStyle w:val="FootnoteReference"/>
          <w:rFonts w:ascii="Times" w:hAnsi="Times"/>
          <w:color w:val="000000" w:themeColor="text1"/>
          <w:sz w:val="18"/>
          <w:szCs w:val="18"/>
        </w:rPr>
        <w:footnoteRef/>
      </w:r>
      <w:r w:rsidRPr="00933E56">
        <w:rPr>
          <w:rFonts w:ascii="Times" w:hAnsi="Times"/>
          <w:color w:val="000000" w:themeColor="text1"/>
          <w:sz w:val="18"/>
          <w:szCs w:val="18"/>
        </w:rPr>
        <w:t xml:space="preserve"> Janelle </w:t>
      </w:r>
      <w:proofErr w:type="spellStart"/>
      <w:r w:rsidRPr="00933E56">
        <w:rPr>
          <w:rFonts w:ascii="Times" w:hAnsi="Times"/>
          <w:color w:val="000000" w:themeColor="text1"/>
          <w:sz w:val="18"/>
          <w:szCs w:val="18"/>
        </w:rPr>
        <w:t>Cammenga</w:t>
      </w:r>
      <w:proofErr w:type="spellEnd"/>
      <w:r w:rsidRPr="00933E56">
        <w:rPr>
          <w:rFonts w:ascii="Times" w:hAnsi="Times"/>
          <w:color w:val="000000" w:themeColor="text1"/>
          <w:sz w:val="18"/>
          <w:szCs w:val="18"/>
        </w:rPr>
        <w:t xml:space="preserve">, </w:t>
      </w:r>
      <w:proofErr w:type="spellStart"/>
      <w:r w:rsidRPr="00933E56">
        <w:rPr>
          <w:rFonts w:ascii="Times" w:hAnsi="Times"/>
          <w:i/>
          <w:color w:val="000000" w:themeColor="text1"/>
          <w:sz w:val="18"/>
          <w:szCs w:val="18"/>
        </w:rPr>
        <w:t>Rauner</w:t>
      </w:r>
      <w:proofErr w:type="spellEnd"/>
      <w:r w:rsidRPr="00933E56">
        <w:rPr>
          <w:rFonts w:ascii="Times" w:hAnsi="Times"/>
          <w:i/>
          <w:color w:val="000000" w:themeColor="text1"/>
          <w:sz w:val="18"/>
          <w:szCs w:val="18"/>
        </w:rPr>
        <w:t xml:space="preserve"> Signs Bill Removing Barriers for Human Trafficking Survivors</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Illinois Policy</w:t>
      </w:r>
      <w:r w:rsidRPr="00933E56">
        <w:rPr>
          <w:rFonts w:ascii="Times" w:hAnsi="Times"/>
          <w:color w:val="000000" w:themeColor="text1"/>
          <w:sz w:val="18"/>
          <w:szCs w:val="18"/>
        </w:rPr>
        <w:t xml:space="preserve">, Sept. 4, 2018, </w:t>
      </w:r>
      <w:hyperlink r:id="rId4" w:history="1">
        <w:r w:rsidRPr="00933E56">
          <w:rPr>
            <w:rStyle w:val="Hyperlink"/>
            <w:rFonts w:ascii="Times" w:hAnsi="Times"/>
            <w:color w:val="000000" w:themeColor="text1"/>
            <w:sz w:val="18"/>
            <w:szCs w:val="18"/>
          </w:rPr>
          <w:t>https://www.illinoispolicy.org/rauner-signs-bill-removing-barriers-for-human-trafficking-survivors/</w:t>
        </w:r>
      </w:hyperlink>
      <w:r w:rsidRPr="00933E56">
        <w:rPr>
          <w:rFonts w:ascii="Times" w:hAnsi="Times"/>
          <w:color w:val="000000" w:themeColor="text1"/>
          <w:sz w:val="18"/>
          <w:szCs w:val="18"/>
        </w:rPr>
        <w:t xml:space="preserve">; H.B. 5494, 100th Gen. </w:t>
      </w:r>
      <w:proofErr w:type="spellStart"/>
      <w:r w:rsidRPr="00933E56">
        <w:rPr>
          <w:rFonts w:ascii="Times" w:hAnsi="Times"/>
          <w:color w:val="000000" w:themeColor="text1"/>
          <w:sz w:val="18"/>
          <w:szCs w:val="18"/>
        </w:rPr>
        <w:t>Assemb</w:t>
      </w:r>
      <w:proofErr w:type="spellEnd"/>
      <w:proofErr w:type="gramStart"/>
      <w:r w:rsidRPr="00933E56">
        <w:rPr>
          <w:rFonts w:ascii="Times" w:hAnsi="Times"/>
          <w:color w:val="000000" w:themeColor="text1"/>
          <w:sz w:val="18"/>
          <w:szCs w:val="18"/>
        </w:rPr>
        <w:t>.,</w:t>
      </w:r>
      <w:proofErr w:type="gramEnd"/>
      <w:r w:rsidRPr="00933E56">
        <w:rPr>
          <w:rFonts w:ascii="Times" w:hAnsi="Times"/>
          <w:color w:val="000000" w:themeColor="text1"/>
          <w:sz w:val="18"/>
          <w:szCs w:val="18"/>
        </w:rPr>
        <w:t xml:space="preserve"> Reg. Sess. (Ill. 2018), available at: </w:t>
      </w:r>
      <w:hyperlink r:id="rId5" w:history="1">
        <w:r w:rsidRPr="00933E56">
          <w:rPr>
            <w:rStyle w:val="Hyperlink"/>
            <w:rFonts w:ascii="Times" w:hAnsi="Times"/>
            <w:color w:val="000000" w:themeColor="text1"/>
            <w:sz w:val="18"/>
            <w:szCs w:val="18"/>
          </w:rPr>
          <w:t>http://www.ilga.gov/legislation/BillStatus.asp?</w:t>
        </w:r>
        <w:r w:rsidRPr="00933E56">
          <w:rPr>
            <w:rStyle w:val="Hyperlink"/>
            <w:rFonts w:ascii="Times" w:hAnsi="Times"/>
            <w:color w:val="000000" w:themeColor="text1"/>
            <w:sz w:val="18"/>
            <w:szCs w:val="18"/>
          </w:rPr>
          <w:br/>
        </w:r>
        <w:proofErr w:type="spellStart"/>
        <w:r w:rsidRPr="00933E56">
          <w:rPr>
            <w:rStyle w:val="Hyperlink"/>
            <w:rFonts w:ascii="Times" w:hAnsi="Times"/>
            <w:color w:val="000000" w:themeColor="text1"/>
            <w:sz w:val="18"/>
            <w:szCs w:val="18"/>
          </w:rPr>
          <w:t>DocTypeID</w:t>
        </w:r>
        <w:proofErr w:type="spellEnd"/>
        <w:r w:rsidRPr="00933E56">
          <w:rPr>
            <w:rStyle w:val="Hyperlink"/>
            <w:rFonts w:ascii="Times" w:hAnsi="Times"/>
            <w:color w:val="000000" w:themeColor="text1"/>
            <w:sz w:val="18"/>
            <w:szCs w:val="18"/>
          </w:rPr>
          <w:t>=</w:t>
        </w:r>
        <w:proofErr w:type="spellStart"/>
        <w:r w:rsidRPr="00933E56">
          <w:rPr>
            <w:rStyle w:val="Hyperlink"/>
            <w:rFonts w:ascii="Times" w:hAnsi="Times"/>
            <w:color w:val="000000" w:themeColor="text1"/>
            <w:sz w:val="18"/>
            <w:szCs w:val="18"/>
          </w:rPr>
          <w:t>HB&amp;DocNum</w:t>
        </w:r>
        <w:proofErr w:type="spellEnd"/>
        <w:r w:rsidRPr="00933E56">
          <w:rPr>
            <w:rStyle w:val="Hyperlink"/>
            <w:rFonts w:ascii="Times" w:hAnsi="Times"/>
            <w:color w:val="000000" w:themeColor="text1"/>
            <w:sz w:val="18"/>
            <w:szCs w:val="18"/>
          </w:rPr>
          <w:t>=5494&amp;GAID=14&amp;SessionID=91&amp;LegID=111434</w:t>
        </w:r>
      </w:hyperlink>
      <w:r w:rsidRPr="00933E56">
        <w:rPr>
          <w:rStyle w:val="Hyperlink"/>
          <w:rFonts w:ascii="Times" w:hAnsi="Times"/>
          <w:color w:val="000000" w:themeColor="text1"/>
          <w:sz w:val="18"/>
          <w:szCs w:val="18"/>
        </w:rPr>
        <w:t xml:space="preserve">; </w:t>
      </w:r>
      <w:r w:rsidRPr="00933E56">
        <w:rPr>
          <w:rFonts w:ascii="Times" w:hAnsi="Times"/>
          <w:color w:val="000000" w:themeColor="text1"/>
          <w:sz w:val="18"/>
          <w:szCs w:val="18"/>
        </w:rPr>
        <w:t xml:space="preserve">Aaron Ball, </w:t>
      </w:r>
      <w:r w:rsidRPr="00933E56">
        <w:rPr>
          <w:rFonts w:ascii="Times" w:hAnsi="Times"/>
          <w:i/>
          <w:color w:val="000000" w:themeColor="text1"/>
          <w:sz w:val="18"/>
          <w:szCs w:val="18"/>
        </w:rPr>
        <w:t>The Battle Against Human Trafficking:  Florida’s New Expungement Law is a Step in the Right Direction</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Nova L. Rev.</w:t>
      </w:r>
      <w:r w:rsidRPr="00933E56">
        <w:rPr>
          <w:rFonts w:ascii="Times" w:hAnsi="Times"/>
          <w:color w:val="000000" w:themeColor="text1"/>
          <w:sz w:val="18"/>
          <w:szCs w:val="18"/>
        </w:rPr>
        <w:t xml:space="preserve"> 122 (2013), available at </w:t>
      </w:r>
      <w:hyperlink r:id="rId6" w:history="1">
        <w:r w:rsidRPr="00933E56">
          <w:rPr>
            <w:rStyle w:val="Hyperlink"/>
            <w:rFonts w:ascii="Times" w:hAnsi="Times"/>
            <w:color w:val="000000" w:themeColor="text1"/>
            <w:sz w:val="18"/>
            <w:szCs w:val="18"/>
          </w:rPr>
          <w:t>https://nsuworks.nova.edu/cgi/viewcontent.cgi?article=1017&amp;context=nlr</w:t>
        </w:r>
      </w:hyperlink>
      <w:r w:rsidRPr="00933E56">
        <w:rPr>
          <w:rFonts w:ascii="Times" w:hAnsi="Times"/>
          <w:color w:val="000000" w:themeColor="text1"/>
          <w:sz w:val="18"/>
          <w:szCs w:val="18"/>
        </w:rPr>
        <w:t xml:space="preserve">; Carrie N. Baker, </w:t>
      </w:r>
      <w:r w:rsidRPr="00933E56">
        <w:rPr>
          <w:rFonts w:ascii="Times" w:hAnsi="Times"/>
          <w:i/>
          <w:color w:val="000000" w:themeColor="text1"/>
          <w:sz w:val="18"/>
          <w:szCs w:val="18"/>
        </w:rPr>
        <w:t>The Influence of International Human Trafficking on United States Prostitution Laws:  The Ease of Expungement Laws</w:t>
      </w:r>
      <w:r w:rsidRPr="00933E56">
        <w:rPr>
          <w:rFonts w:ascii="Times" w:hAnsi="Times"/>
          <w:color w:val="000000" w:themeColor="text1"/>
          <w:sz w:val="18"/>
          <w:szCs w:val="18"/>
        </w:rPr>
        <w:t xml:space="preserve">, 62 </w:t>
      </w:r>
      <w:r w:rsidRPr="00933E56">
        <w:rPr>
          <w:rFonts w:ascii="Times" w:hAnsi="Times"/>
          <w:smallCaps/>
          <w:color w:val="000000" w:themeColor="text1"/>
          <w:sz w:val="18"/>
          <w:szCs w:val="18"/>
        </w:rPr>
        <w:t xml:space="preserve">Syracuse L. Rev. </w:t>
      </w:r>
      <w:r w:rsidRPr="00933E56">
        <w:rPr>
          <w:rFonts w:ascii="Times" w:hAnsi="Times"/>
          <w:color w:val="000000" w:themeColor="text1"/>
          <w:sz w:val="18"/>
          <w:szCs w:val="18"/>
        </w:rPr>
        <w:t xml:space="preserve">171 (2012), available at:  </w:t>
      </w:r>
      <w:hyperlink r:id="rId7" w:history="1">
        <w:r w:rsidRPr="00933E56">
          <w:rPr>
            <w:rStyle w:val="Hyperlink"/>
            <w:rFonts w:ascii="Times" w:hAnsi="Times"/>
            <w:color w:val="000000" w:themeColor="text1"/>
            <w:sz w:val="18"/>
            <w:szCs w:val="18"/>
          </w:rPr>
          <w:t>http://lawreview.syr.edu/wp-content/uploads/2013/03/K-Baker.pdf</w:t>
        </w:r>
      </w:hyperlink>
      <w:r w:rsidRPr="00933E56">
        <w:rPr>
          <w:rFonts w:ascii="Times" w:hAnsi="Times"/>
          <w:color w:val="000000" w:themeColor="text1"/>
          <w:sz w:val="18"/>
          <w:szCs w:val="18"/>
        </w:rPr>
        <w:t xml:space="preserve">. </w:t>
      </w:r>
    </w:p>
  </w:footnote>
  <w:footnote w:id="20">
    <w:p w14:paraId="1578B3B3" w14:textId="77777777" w:rsidR="006D6BF6" w:rsidRPr="00933E56" w:rsidRDefault="006D6BF6" w:rsidP="00933E56">
      <w:pPr>
        <w:pStyle w:val="FootnoteText"/>
        <w:rPr>
          <w:rFonts w:ascii="Times" w:hAnsi="Times"/>
          <w:color w:val="000000" w:themeColor="text1"/>
          <w:sz w:val="18"/>
          <w:szCs w:val="18"/>
        </w:rPr>
      </w:pPr>
      <w:r w:rsidRPr="00933E56">
        <w:rPr>
          <w:rStyle w:val="FootnoteReference"/>
          <w:rFonts w:ascii="Times" w:hAnsi="Times"/>
          <w:color w:val="000000" w:themeColor="text1"/>
          <w:sz w:val="18"/>
          <w:szCs w:val="18"/>
        </w:rPr>
        <w:footnoteRef/>
      </w:r>
      <w:r w:rsidRPr="00933E56">
        <w:rPr>
          <w:rFonts w:ascii="Times" w:hAnsi="Times"/>
          <w:color w:val="000000" w:themeColor="text1"/>
          <w:sz w:val="18"/>
          <w:szCs w:val="18"/>
        </w:rPr>
        <w:t xml:space="preserve"> Protection of Freedoms Act 2012 (establishing “disregarding” scheme); Policing and Crime Act 2017, §164-172 (establishing the pardoning scheme). </w:t>
      </w:r>
      <w:r w:rsidRPr="00933E56">
        <w:rPr>
          <w:rFonts w:ascii="Times" w:hAnsi="Times"/>
          <w:i/>
          <w:color w:val="000000" w:themeColor="text1"/>
          <w:sz w:val="18"/>
          <w:szCs w:val="18"/>
        </w:rPr>
        <w:t>Alan Turing Law’:  Thousands of Gay Men to be Pardoned</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BBC News</w:t>
      </w:r>
      <w:r w:rsidRPr="00933E56">
        <w:rPr>
          <w:rFonts w:ascii="Times" w:hAnsi="Times"/>
          <w:color w:val="000000" w:themeColor="text1"/>
          <w:sz w:val="18"/>
          <w:szCs w:val="18"/>
        </w:rPr>
        <w:t xml:space="preserve">, Oct. 20, 2016, </w:t>
      </w:r>
      <w:hyperlink r:id="rId8" w:history="1">
        <w:r w:rsidRPr="00933E56">
          <w:rPr>
            <w:rStyle w:val="Hyperlink"/>
            <w:rFonts w:ascii="Times" w:hAnsi="Times"/>
            <w:color w:val="000000" w:themeColor="text1"/>
            <w:sz w:val="18"/>
            <w:szCs w:val="18"/>
          </w:rPr>
          <w:t>https://www.bbc.com/news/uk-37711518</w:t>
        </w:r>
      </w:hyperlink>
      <w:r w:rsidRPr="00933E56">
        <w:rPr>
          <w:rFonts w:ascii="Times" w:hAnsi="Times"/>
          <w:color w:val="000000" w:themeColor="text1"/>
          <w:sz w:val="18"/>
          <w:szCs w:val="18"/>
        </w:rPr>
        <w:t>.</w:t>
      </w:r>
    </w:p>
  </w:footnote>
  <w:footnote w:id="21">
    <w:p w14:paraId="164B5F7C" w14:textId="77777777" w:rsidR="006D6BF6" w:rsidRPr="00933E56" w:rsidRDefault="006D6BF6" w:rsidP="00933E56">
      <w:pPr>
        <w:pStyle w:val="FootnoteText"/>
        <w:rPr>
          <w:rFonts w:ascii="Times" w:hAnsi="Times"/>
          <w:color w:val="000000" w:themeColor="text1"/>
          <w:sz w:val="18"/>
          <w:szCs w:val="18"/>
        </w:rPr>
      </w:pPr>
      <w:r w:rsidRPr="00933E56">
        <w:rPr>
          <w:rStyle w:val="FootnoteReference"/>
          <w:rFonts w:ascii="Times" w:hAnsi="Times"/>
          <w:color w:val="000000" w:themeColor="text1"/>
          <w:sz w:val="18"/>
          <w:szCs w:val="18"/>
        </w:rPr>
        <w:footnoteRef/>
      </w:r>
      <w:r w:rsidRPr="00933E56">
        <w:rPr>
          <w:rFonts w:ascii="Times" w:hAnsi="Times"/>
          <w:color w:val="000000" w:themeColor="text1"/>
          <w:sz w:val="18"/>
          <w:szCs w:val="18"/>
        </w:rPr>
        <w:t xml:space="preserve"> Douglas A. Berman, </w:t>
      </w:r>
      <w:r w:rsidRPr="00933E56">
        <w:rPr>
          <w:rFonts w:ascii="Times" w:hAnsi="Times"/>
          <w:i/>
          <w:color w:val="000000" w:themeColor="text1"/>
          <w:sz w:val="18"/>
          <w:szCs w:val="18"/>
        </w:rPr>
        <w:t>Leveraging Marijuana Reform to Enhance Expungement Practices</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 xml:space="preserve">30 Fed. </w:t>
      </w:r>
      <w:proofErr w:type="spellStart"/>
      <w:r w:rsidRPr="00933E56">
        <w:rPr>
          <w:rFonts w:ascii="Times" w:hAnsi="Times"/>
          <w:smallCaps/>
          <w:color w:val="000000" w:themeColor="text1"/>
          <w:sz w:val="18"/>
          <w:szCs w:val="18"/>
        </w:rPr>
        <w:t>Sent’g</w:t>
      </w:r>
      <w:proofErr w:type="spellEnd"/>
      <w:r w:rsidRPr="00933E56">
        <w:rPr>
          <w:rFonts w:ascii="Times" w:hAnsi="Times"/>
          <w:smallCaps/>
          <w:color w:val="000000" w:themeColor="text1"/>
          <w:sz w:val="18"/>
          <w:szCs w:val="18"/>
        </w:rPr>
        <w:t xml:space="preserve"> Rep</w:t>
      </w:r>
      <w:r w:rsidRPr="00933E56">
        <w:rPr>
          <w:rFonts w:ascii="Times" w:hAnsi="Times"/>
          <w:color w:val="000000" w:themeColor="text1"/>
          <w:sz w:val="18"/>
          <w:szCs w:val="18"/>
        </w:rPr>
        <w:t>. __ (2018)</w:t>
      </w:r>
      <w:proofErr w:type="gramStart"/>
      <w:r w:rsidRPr="00933E56">
        <w:rPr>
          <w:rFonts w:ascii="Times" w:hAnsi="Times"/>
          <w:color w:val="000000" w:themeColor="text1"/>
          <w:sz w:val="18"/>
          <w:szCs w:val="18"/>
        </w:rPr>
        <w:t>;</w:t>
      </w:r>
      <w:proofErr w:type="gramEnd"/>
      <w:r w:rsidRPr="00933E56">
        <w:rPr>
          <w:rFonts w:ascii="Times" w:hAnsi="Times"/>
          <w:color w:val="000000" w:themeColor="text1"/>
          <w:sz w:val="18"/>
          <w:szCs w:val="18"/>
        </w:rPr>
        <w:t xml:space="preserve"> Margaret Colgate Love, </w:t>
      </w:r>
      <w:r w:rsidRPr="00933E56">
        <w:rPr>
          <w:rFonts w:ascii="Times" w:hAnsi="Times"/>
          <w:i/>
          <w:color w:val="000000" w:themeColor="text1"/>
          <w:sz w:val="18"/>
          <w:szCs w:val="18"/>
        </w:rPr>
        <w:t>Starting over with a Clean Slate:  In Praise of a Forgotten Section of the Model Penal Code</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 xml:space="preserve">30 Fordham </w:t>
      </w:r>
      <w:proofErr w:type="spellStart"/>
      <w:r w:rsidRPr="00933E56">
        <w:rPr>
          <w:rFonts w:ascii="Times" w:hAnsi="Times"/>
          <w:smallCaps/>
          <w:color w:val="000000" w:themeColor="text1"/>
          <w:sz w:val="18"/>
          <w:szCs w:val="18"/>
        </w:rPr>
        <w:t>Urb</w:t>
      </w:r>
      <w:proofErr w:type="spellEnd"/>
      <w:r w:rsidRPr="00933E56">
        <w:rPr>
          <w:rFonts w:ascii="Times" w:hAnsi="Times"/>
          <w:smallCaps/>
          <w:color w:val="000000" w:themeColor="text1"/>
          <w:sz w:val="18"/>
          <w:szCs w:val="18"/>
        </w:rPr>
        <w:t>. L.J. 1705</w:t>
      </w:r>
      <w:r w:rsidRPr="00933E56">
        <w:rPr>
          <w:rFonts w:ascii="Times" w:hAnsi="Times"/>
          <w:color w:val="000000" w:themeColor="text1"/>
          <w:sz w:val="18"/>
          <w:szCs w:val="18"/>
        </w:rPr>
        <w:t xml:space="preserve"> (2003), available at </w:t>
      </w:r>
      <w:hyperlink r:id="rId9" w:history="1">
        <w:r w:rsidRPr="00933E56">
          <w:rPr>
            <w:rStyle w:val="Hyperlink"/>
            <w:rFonts w:ascii="Times" w:hAnsi="Times"/>
            <w:color w:val="000000" w:themeColor="text1"/>
            <w:sz w:val="18"/>
            <w:szCs w:val="18"/>
          </w:rPr>
          <w:t>https://ir.lawnet.fordham.edu/cgi/viewcontent.cgi?</w:t>
        </w:r>
        <w:r w:rsidRPr="00933E56">
          <w:rPr>
            <w:rStyle w:val="Hyperlink"/>
            <w:rFonts w:ascii="Times" w:hAnsi="Times"/>
            <w:color w:val="000000" w:themeColor="text1"/>
            <w:sz w:val="18"/>
            <w:szCs w:val="18"/>
          </w:rPr>
          <w:br/>
          <w:t>article=1880&amp;context=ulj</w:t>
        </w:r>
      </w:hyperlink>
      <w:r w:rsidRPr="00933E56">
        <w:rPr>
          <w:rStyle w:val="Hyperlink"/>
          <w:rFonts w:ascii="Times" w:hAnsi="Times"/>
          <w:color w:val="000000" w:themeColor="text1"/>
          <w:sz w:val="18"/>
          <w:szCs w:val="18"/>
        </w:rPr>
        <w:t xml:space="preserve">. </w:t>
      </w:r>
    </w:p>
  </w:footnote>
  <w:footnote w:id="22">
    <w:p w14:paraId="649AC53A" w14:textId="77777777" w:rsidR="006D6BF6" w:rsidRPr="00925F66" w:rsidRDefault="006D6BF6" w:rsidP="00933E56">
      <w:pPr>
        <w:pStyle w:val="FootnoteText"/>
        <w:rPr>
          <w:color w:val="000000" w:themeColor="text1"/>
        </w:rPr>
      </w:pPr>
      <w:r w:rsidRPr="00933E56">
        <w:rPr>
          <w:rStyle w:val="FootnoteReference"/>
          <w:rFonts w:ascii="Times" w:hAnsi="Times"/>
          <w:color w:val="000000" w:themeColor="text1"/>
          <w:sz w:val="18"/>
          <w:szCs w:val="18"/>
        </w:rPr>
        <w:footnoteRef/>
      </w:r>
      <w:r w:rsidRPr="00933E56">
        <w:rPr>
          <w:rFonts w:ascii="Times" w:hAnsi="Times"/>
          <w:color w:val="000000" w:themeColor="text1"/>
          <w:sz w:val="18"/>
          <w:szCs w:val="18"/>
        </w:rPr>
        <w:t xml:space="preserve"> Rob Gillies &amp; Gene Johnson, </w:t>
      </w:r>
      <w:r w:rsidRPr="00933E56">
        <w:rPr>
          <w:rFonts w:ascii="Times" w:hAnsi="Times"/>
          <w:i/>
          <w:color w:val="000000" w:themeColor="text1"/>
          <w:sz w:val="18"/>
          <w:szCs w:val="18"/>
        </w:rPr>
        <w:t>Canada to Pardon Pot Possession As It Legalizes Marijuana</w:t>
      </w:r>
      <w:r w:rsidRPr="00933E56">
        <w:rPr>
          <w:rFonts w:ascii="Times" w:hAnsi="Times"/>
          <w:color w:val="000000" w:themeColor="text1"/>
          <w:sz w:val="18"/>
          <w:szCs w:val="18"/>
        </w:rPr>
        <w:t xml:space="preserve">, </w:t>
      </w:r>
      <w:r w:rsidRPr="00933E56">
        <w:rPr>
          <w:rFonts w:ascii="Times" w:hAnsi="Times"/>
          <w:smallCaps/>
          <w:color w:val="000000" w:themeColor="text1"/>
          <w:sz w:val="18"/>
          <w:szCs w:val="18"/>
        </w:rPr>
        <w:t>Associated Press</w:t>
      </w:r>
      <w:r w:rsidRPr="00933E56">
        <w:rPr>
          <w:rFonts w:ascii="Times" w:hAnsi="Times"/>
          <w:color w:val="000000" w:themeColor="text1"/>
          <w:sz w:val="18"/>
          <w:szCs w:val="18"/>
        </w:rPr>
        <w:t xml:space="preserve">, Oct. 16, 2018, </w:t>
      </w:r>
      <w:hyperlink r:id="rId10" w:history="1">
        <w:r w:rsidRPr="00933E56">
          <w:rPr>
            <w:rStyle w:val="Hyperlink"/>
            <w:rFonts w:ascii="Times" w:hAnsi="Times"/>
            <w:color w:val="000000" w:themeColor="text1"/>
            <w:sz w:val="18"/>
            <w:szCs w:val="18"/>
          </w:rPr>
          <w:t>https://apnews.com/3a31d93c09074bd69721328725befb3c</w:t>
        </w:r>
      </w:hyperlink>
      <w:r w:rsidRPr="00933E56">
        <w:rPr>
          <w:rFonts w:ascii="Times" w:hAnsi="Times"/>
          <w:color w:val="000000" w:themeColor="text1"/>
          <w:sz w:val="18"/>
          <w:szCs w:val="18"/>
        </w:rPr>
        <w:t>.</w:t>
      </w:r>
    </w:p>
  </w:footnote>
  <w:footnote w:id="23">
    <w:p w14:paraId="208D3038" w14:textId="77777777" w:rsidR="006D6BF6" w:rsidRPr="00933E56" w:rsidRDefault="006D6BF6" w:rsidP="00933E56">
      <w:pPr>
        <w:pStyle w:val="FootnoteText"/>
        <w:rPr>
          <w:rFonts w:ascii="Times" w:hAnsi="Times"/>
          <w:color w:val="000000" w:themeColor="text1"/>
          <w:sz w:val="18"/>
          <w:szCs w:val="18"/>
        </w:rPr>
      </w:pPr>
      <w:r w:rsidRPr="00933E56">
        <w:rPr>
          <w:rStyle w:val="FootnoteReference"/>
          <w:rFonts w:ascii="Times" w:hAnsi="Times"/>
          <w:color w:val="000000" w:themeColor="text1"/>
          <w:sz w:val="18"/>
          <w:szCs w:val="18"/>
        </w:rPr>
        <w:footnoteRef/>
      </w:r>
      <w:r w:rsidRPr="00933E56">
        <w:rPr>
          <w:rFonts w:ascii="Times" w:hAnsi="Times"/>
          <w:color w:val="000000" w:themeColor="text1"/>
          <w:sz w:val="18"/>
          <w:szCs w:val="18"/>
        </w:rPr>
        <w:t xml:space="preserve"> Newsbeat, </w:t>
      </w:r>
      <w:proofErr w:type="spellStart"/>
      <w:r w:rsidRPr="00933E56">
        <w:rPr>
          <w:rFonts w:ascii="Times" w:hAnsi="Times"/>
          <w:i/>
          <w:color w:val="000000" w:themeColor="text1"/>
          <w:sz w:val="18"/>
          <w:szCs w:val="18"/>
        </w:rPr>
        <w:t>Canabis</w:t>
      </w:r>
      <w:proofErr w:type="spellEnd"/>
      <w:r w:rsidRPr="00933E56">
        <w:rPr>
          <w:rFonts w:ascii="Times" w:hAnsi="Times"/>
          <w:i/>
          <w:color w:val="000000" w:themeColor="text1"/>
          <w:sz w:val="18"/>
          <w:szCs w:val="18"/>
        </w:rPr>
        <w:t xml:space="preserve"> in Canada:  pardoning People for Possession Isn’t Enough</w:t>
      </w:r>
      <w:r w:rsidRPr="00933E56">
        <w:rPr>
          <w:rFonts w:ascii="Times" w:hAnsi="Times"/>
          <w:color w:val="000000" w:themeColor="text1"/>
          <w:sz w:val="18"/>
          <w:szCs w:val="18"/>
        </w:rPr>
        <w:t xml:space="preserve">, BBC (Oct. 20, 2018), </w:t>
      </w:r>
      <w:hyperlink r:id="rId11" w:history="1">
        <w:r w:rsidRPr="00933E56">
          <w:rPr>
            <w:rStyle w:val="Hyperlink"/>
            <w:rFonts w:ascii="Times" w:hAnsi="Times"/>
            <w:color w:val="000000" w:themeColor="text1"/>
            <w:sz w:val="18"/>
            <w:szCs w:val="18"/>
          </w:rPr>
          <w:t>https://www.bbc.com/news/newsbeat-45913521</w:t>
        </w:r>
      </w:hyperlink>
      <w:r w:rsidRPr="00933E56">
        <w:rPr>
          <w:rStyle w:val="Hyperlink"/>
          <w:rFonts w:ascii="Times" w:hAnsi="Times"/>
          <w:color w:val="000000" w:themeColor="text1"/>
          <w:sz w:val="18"/>
          <w:szCs w:val="18"/>
        </w:rPr>
        <w:t>.</w:t>
      </w:r>
    </w:p>
  </w:footnote>
  <w:footnote w:id="24">
    <w:p w14:paraId="637F8844" w14:textId="77777777" w:rsidR="006D6BF6" w:rsidRPr="006D6BF6" w:rsidRDefault="006D6BF6" w:rsidP="00933E56">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r w:rsidRPr="006D6BF6">
        <w:rPr>
          <w:rFonts w:ascii="Times" w:hAnsi="Times"/>
          <w:smallCaps/>
          <w:color w:val="000000" w:themeColor="text1"/>
          <w:sz w:val="18"/>
          <w:szCs w:val="18"/>
        </w:rPr>
        <w:t>Cannabis Amnesty</w:t>
      </w:r>
      <w:r w:rsidRPr="006D6BF6">
        <w:rPr>
          <w:rFonts w:ascii="Times" w:hAnsi="Times"/>
          <w:color w:val="000000" w:themeColor="text1"/>
          <w:sz w:val="18"/>
          <w:szCs w:val="18"/>
        </w:rPr>
        <w:t xml:space="preserve">, </w:t>
      </w:r>
      <w:hyperlink r:id="rId12" w:history="1">
        <w:r w:rsidRPr="006D6BF6">
          <w:rPr>
            <w:rStyle w:val="Hyperlink"/>
            <w:rFonts w:ascii="Times" w:hAnsi="Times"/>
            <w:color w:val="000000" w:themeColor="text1"/>
            <w:sz w:val="18"/>
            <w:szCs w:val="18"/>
          </w:rPr>
          <w:t>https://www.cannabisamnesty.ca/</w:t>
        </w:r>
      </w:hyperlink>
      <w:r w:rsidRPr="006D6BF6">
        <w:rPr>
          <w:rFonts w:ascii="Times" w:hAnsi="Times"/>
          <w:color w:val="000000" w:themeColor="text1"/>
          <w:sz w:val="18"/>
          <w:szCs w:val="18"/>
        </w:rPr>
        <w:t xml:space="preserve"> (last visited Nov. 7, 208).  </w:t>
      </w:r>
    </w:p>
  </w:footnote>
  <w:footnote w:id="25">
    <w:p w14:paraId="264A8F50" w14:textId="77777777" w:rsidR="006D6BF6" w:rsidRPr="006D6BF6" w:rsidRDefault="006D6BF6" w:rsidP="00727B0C">
      <w:pPr>
        <w:pStyle w:val="FootnoteText"/>
        <w:rPr>
          <w:rFonts w:ascii="Times" w:hAnsi="Times"/>
          <w:color w:val="000000" w:themeColor="text1"/>
          <w:sz w:val="18"/>
          <w:szCs w:val="18"/>
        </w:rPr>
      </w:pPr>
      <w:r w:rsidRPr="006D6BF6">
        <w:rPr>
          <w:rStyle w:val="FootnoteReference"/>
          <w:rFonts w:ascii="Times" w:hAnsi="Times"/>
          <w:color w:val="000000" w:themeColor="text1"/>
          <w:sz w:val="18"/>
          <w:szCs w:val="18"/>
        </w:rPr>
        <w:footnoteRef/>
      </w:r>
      <w:r w:rsidRPr="006D6BF6">
        <w:rPr>
          <w:rFonts w:ascii="Times" w:hAnsi="Times"/>
          <w:color w:val="000000" w:themeColor="text1"/>
          <w:sz w:val="18"/>
          <w:szCs w:val="18"/>
        </w:rPr>
        <w:t xml:space="preserve"> </w:t>
      </w:r>
      <w:proofErr w:type="spellStart"/>
      <w:r w:rsidRPr="006D6BF6">
        <w:rPr>
          <w:rFonts w:ascii="Times" w:hAnsi="Times"/>
          <w:color w:val="000000" w:themeColor="text1"/>
          <w:sz w:val="18"/>
          <w:szCs w:val="18"/>
        </w:rPr>
        <w:t>Marjan</w:t>
      </w:r>
      <w:proofErr w:type="spellEnd"/>
      <w:r w:rsidRPr="006D6BF6">
        <w:rPr>
          <w:rFonts w:ascii="Times" w:hAnsi="Times"/>
          <w:color w:val="000000" w:themeColor="text1"/>
          <w:sz w:val="18"/>
          <w:szCs w:val="18"/>
        </w:rPr>
        <w:t xml:space="preserve"> R. </w:t>
      </w:r>
      <w:proofErr w:type="spellStart"/>
      <w:r w:rsidRPr="006D6BF6">
        <w:rPr>
          <w:rFonts w:ascii="Times" w:hAnsi="Times"/>
          <w:color w:val="000000" w:themeColor="text1"/>
          <w:sz w:val="18"/>
          <w:szCs w:val="18"/>
        </w:rPr>
        <w:t>Damaska</w:t>
      </w:r>
      <w:proofErr w:type="spellEnd"/>
      <w:r w:rsidRPr="006D6BF6">
        <w:rPr>
          <w:rFonts w:ascii="Times" w:hAnsi="Times"/>
          <w:color w:val="000000" w:themeColor="text1"/>
          <w:sz w:val="18"/>
          <w:szCs w:val="18"/>
        </w:rPr>
        <w:t xml:space="preserve">, Adverse Legal Consequences of Conviction and Their Removal:  A Comparative Study (Part 2), </w:t>
      </w:r>
      <w:r w:rsidRPr="006D6BF6">
        <w:rPr>
          <w:rFonts w:ascii="Times" w:hAnsi="Times"/>
          <w:smallCaps/>
          <w:color w:val="000000" w:themeColor="text1"/>
          <w:sz w:val="18"/>
          <w:szCs w:val="18"/>
        </w:rPr>
        <w:t xml:space="preserve">59 J. Crim. L. Criminology &amp; Police Sci. 542, </w:t>
      </w:r>
      <w:r w:rsidRPr="006D6BF6">
        <w:rPr>
          <w:rFonts w:ascii="Times" w:hAnsi="Times"/>
          <w:color w:val="000000" w:themeColor="text1"/>
          <w:sz w:val="18"/>
          <w:szCs w:val="18"/>
        </w:rPr>
        <w:t>at 545</w:t>
      </w:r>
      <w:r w:rsidRPr="006D6BF6">
        <w:rPr>
          <w:rFonts w:ascii="Times" w:hAnsi="Times"/>
          <w:smallCaps/>
          <w:color w:val="000000" w:themeColor="text1"/>
          <w:sz w:val="18"/>
          <w:szCs w:val="18"/>
        </w:rPr>
        <w:t>(1968</w:t>
      </w:r>
      <w:r w:rsidRPr="006D6BF6">
        <w:rPr>
          <w:rFonts w:ascii="Times" w:hAnsi="Times"/>
          <w:color w:val="000000" w:themeColor="text1"/>
          <w:sz w:val="18"/>
          <w:szCs w:val="18"/>
        </w:rPr>
        <w:t>), available at</w:t>
      </w:r>
      <w:proofErr w:type="gramStart"/>
      <w:r w:rsidRPr="006D6BF6">
        <w:rPr>
          <w:rFonts w:ascii="Times" w:hAnsi="Times"/>
          <w:color w:val="000000" w:themeColor="text1"/>
          <w:sz w:val="18"/>
          <w:szCs w:val="18"/>
        </w:rPr>
        <w:t xml:space="preserve">:  </w:t>
      </w:r>
      <w:proofErr w:type="gramEnd"/>
      <w:hyperlink r:id="rId13" w:history="1">
        <w:r w:rsidRPr="006D6BF6">
          <w:rPr>
            <w:rStyle w:val="Hyperlink"/>
            <w:rFonts w:ascii="Times" w:hAnsi="Times"/>
            <w:color w:val="000000" w:themeColor="text1"/>
            <w:sz w:val="18"/>
            <w:szCs w:val="18"/>
          </w:rPr>
          <w:t>https://scholarlycommons.law.</w:t>
        </w:r>
        <w:r w:rsidRPr="006D6BF6">
          <w:rPr>
            <w:rStyle w:val="Hyperlink"/>
            <w:rFonts w:ascii="Times" w:hAnsi="Times"/>
            <w:color w:val="000000" w:themeColor="text1"/>
            <w:sz w:val="18"/>
            <w:szCs w:val="18"/>
          </w:rPr>
          <w:br/>
          <w:t>northwestern.edu/cgi/viewcontent.cgi?article=5551&amp;context=jclc</w:t>
        </w:r>
      </w:hyperlink>
      <w:r w:rsidRPr="006D6BF6">
        <w:rPr>
          <w:rStyle w:val="Hyperlink"/>
          <w:rFonts w:ascii="Times" w:hAnsi="Times"/>
          <w:color w:val="000000" w:themeColor="text1"/>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04F4"/>
    <w:multiLevelType w:val="hybridMultilevel"/>
    <w:tmpl w:val="8EC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8"/>
    <w:rsid w:val="00141D74"/>
    <w:rsid w:val="00251C51"/>
    <w:rsid w:val="002B7FAA"/>
    <w:rsid w:val="002E0CA7"/>
    <w:rsid w:val="003C1F4C"/>
    <w:rsid w:val="004E7297"/>
    <w:rsid w:val="005425DA"/>
    <w:rsid w:val="005944E8"/>
    <w:rsid w:val="006D6BF6"/>
    <w:rsid w:val="006E4533"/>
    <w:rsid w:val="00727B0C"/>
    <w:rsid w:val="007641B3"/>
    <w:rsid w:val="007F2745"/>
    <w:rsid w:val="00933E56"/>
    <w:rsid w:val="009D7F25"/>
    <w:rsid w:val="00A607F4"/>
    <w:rsid w:val="00AF7F47"/>
    <w:rsid w:val="00C42FC1"/>
    <w:rsid w:val="00D4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BF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745"/>
  </w:style>
  <w:style w:type="character" w:customStyle="1" w:styleId="FootnoteTextChar">
    <w:name w:val="Footnote Text Char"/>
    <w:basedOn w:val="DefaultParagraphFont"/>
    <w:link w:val="FootnoteText"/>
    <w:uiPriority w:val="99"/>
    <w:rsid w:val="007F2745"/>
    <w:rPr>
      <w:lang w:val="en-GB"/>
    </w:rPr>
  </w:style>
  <w:style w:type="character" w:styleId="FootnoteReference">
    <w:name w:val="footnote reference"/>
    <w:basedOn w:val="DefaultParagraphFont"/>
    <w:uiPriority w:val="99"/>
    <w:unhideWhenUsed/>
    <w:rsid w:val="007F2745"/>
    <w:rPr>
      <w:vertAlign w:val="superscript"/>
    </w:rPr>
  </w:style>
  <w:style w:type="paragraph" w:styleId="ListParagraph">
    <w:name w:val="List Paragraph"/>
    <w:basedOn w:val="Normal"/>
    <w:uiPriority w:val="34"/>
    <w:qFormat/>
    <w:rsid w:val="007641B3"/>
    <w:pPr>
      <w:ind w:left="720"/>
      <w:contextualSpacing/>
    </w:pPr>
    <w:rPr>
      <w:rFonts w:eastAsiaTheme="minorHAnsi"/>
      <w:lang w:val="en-US"/>
    </w:rPr>
  </w:style>
  <w:style w:type="character" w:styleId="Hyperlink">
    <w:name w:val="Hyperlink"/>
    <w:basedOn w:val="DefaultParagraphFont"/>
    <w:uiPriority w:val="99"/>
    <w:unhideWhenUsed/>
    <w:rsid w:val="007641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745"/>
  </w:style>
  <w:style w:type="character" w:customStyle="1" w:styleId="FootnoteTextChar">
    <w:name w:val="Footnote Text Char"/>
    <w:basedOn w:val="DefaultParagraphFont"/>
    <w:link w:val="FootnoteText"/>
    <w:uiPriority w:val="99"/>
    <w:rsid w:val="007F2745"/>
    <w:rPr>
      <w:lang w:val="en-GB"/>
    </w:rPr>
  </w:style>
  <w:style w:type="character" w:styleId="FootnoteReference">
    <w:name w:val="footnote reference"/>
    <w:basedOn w:val="DefaultParagraphFont"/>
    <w:uiPriority w:val="99"/>
    <w:unhideWhenUsed/>
    <w:rsid w:val="007F2745"/>
    <w:rPr>
      <w:vertAlign w:val="superscript"/>
    </w:rPr>
  </w:style>
  <w:style w:type="paragraph" w:styleId="ListParagraph">
    <w:name w:val="List Paragraph"/>
    <w:basedOn w:val="Normal"/>
    <w:uiPriority w:val="34"/>
    <w:qFormat/>
    <w:rsid w:val="007641B3"/>
    <w:pPr>
      <w:ind w:left="720"/>
      <w:contextualSpacing/>
    </w:pPr>
    <w:rPr>
      <w:rFonts w:eastAsiaTheme="minorHAnsi"/>
      <w:lang w:val="en-US"/>
    </w:rPr>
  </w:style>
  <w:style w:type="character" w:styleId="Hyperlink">
    <w:name w:val="Hyperlink"/>
    <w:basedOn w:val="DefaultParagraphFont"/>
    <w:uiPriority w:val="99"/>
    <w:unhideWhenUsed/>
    <w:rsid w:val="00764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s://www.bbc.com/news/newsbeat-45913521" TargetMode="External"/><Relationship Id="rId12" Type="http://schemas.openxmlformats.org/officeDocument/2006/relationships/hyperlink" Target="https://www.cannabisamnesty.ca/" TargetMode="External"/><Relationship Id="rId13" Type="http://schemas.openxmlformats.org/officeDocument/2006/relationships/hyperlink" Target="https://scholarlycommons.law.northwestern.edu/cgi/viewcontent.cgi?article=5551&amp;context=jclc" TargetMode="External"/><Relationship Id="rId1" Type="http://schemas.openxmlformats.org/officeDocument/2006/relationships/hyperlink" Target="https://scholarlycommons.law.northwestern.edu/cgi/viewcontent.cgi?article=5530&amp;context=jclc" TargetMode="External"/><Relationship Id="rId2" Type="http://schemas.openxmlformats.org/officeDocument/2006/relationships/hyperlink" Target="https://legislation.nsw.gov.au/" TargetMode="External"/><Relationship Id="rId3" Type="http://schemas.openxmlformats.org/officeDocument/2006/relationships/hyperlink" Target="http://www.legislation.govt.nz/act/public/2003/0028/latest/DLM197815.html" TargetMode="External"/><Relationship Id="rId4" Type="http://schemas.openxmlformats.org/officeDocument/2006/relationships/hyperlink" Target="https://www.illinoispolicy.org/rauner-signs-bill-removing-barriers-for-human-trafficking-survivors/" TargetMode="External"/><Relationship Id="rId5" Type="http://schemas.openxmlformats.org/officeDocument/2006/relationships/hyperlink" Target="http://www.ilga.gov/legislation/BillStatus.asp?DocTypeID=HB&amp;DocNum=5494&amp;GAID=14&amp;SessionID=91&amp;LegID=111434" TargetMode="External"/><Relationship Id="rId6" Type="http://schemas.openxmlformats.org/officeDocument/2006/relationships/hyperlink" Target="https://nsuworks.nova.edu/cgi/viewcontent.cgi?article=1017&amp;context=nlr" TargetMode="External"/><Relationship Id="rId7" Type="http://schemas.openxmlformats.org/officeDocument/2006/relationships/hyperlink" Target="http://lawreview.syr.edu/wp-content/uploads/2013/03/K-Baker.pdf" TargetMode="External"/><Relationship Id="rId8" Type="http://schemas.openxmlformats.org/officeDocument/2006/relationships/hyperlink" Target="https://www.bbc.com/news/uk-37711518" TargetMode="External"/><Relationship Id="rId9" Type="http://schemas.openxmlformats.org/officeDocument/2006/relationships/hyperlink" Target="https://ir.lawnet.fordham.edu/cgi/viewcontent.cgi?article=1880&amp;context=ulj" TargetMode="External"/><Relationship Id="rId10" Type="http://schemas.openxmlformats.org/officeDocument/2006/relationships/hyperlink" Target="https://apnews.com/3a31d93c09074bd69721328725befb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1895</Words>
  <Characters>10804</Characters>
  <Application>Microsoft Macintosh Word</Application>
  <DocSecurity>0</DocSecurity>
  <Lines>90</Lines>
  <Paragraphs>25</Paragraphs>
  <ScaleCrop>false</ScaleCrop>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12</cp:revision>
  <dcterms:created xsi:type="dcterms:W3CDTF">2018-11-26T21:45:00Z</dcterms:created>
  <dcterms:modified xsi:type="dcterms:W3CDTF">2018-12-12T10:33:00Z</dcterms:modified>
</cp:coreProperties>
</file>